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73" w:type="dxa"/>
        <w:tblCellSpacing w:w="0" w:type="auto"/>
        <w:tblInd w:w="115" w:type="dxa"/>
        <w:tblBorders>
          <w:top w:val="single" w:sz="8" w:space="0" w:color="E5E2FF"/>
          <w:left w:val="inset" w:sz="8" w:space="0" w:color="000000"/>
          <w:bottom w:val="inset" w:sz="8" w:space="0" w:color="000000"/>
          <w:right w:val="inset" w:sz="8" w:space="0" w:color="000000"/>
        </w:tblBorders>
        <w:tblLook w:val="04A0"/>
      </w:tblPr>
      <w:tblGrid>
        <w:gridCol w:w="2444"/>
        <w:gridCol w:w="70"/>
        <w:gridCol w:w="7959"/>
      </w:tblGrid>
      <w:tr w:rsidR="00885997" w:rsidTr="000F4097">
        <w:trPr>
          <w:trHeight w:val="46"/>
          <w:tblCellSpacing w:w="0" w:type="auto"/>
        </w:trPr>
        <w:tc>
          <w:tcPr>
            <w:tcW w:w="2444" w:type="dxa"/>
            <w:tcBorders>
              <w:top w:val="nil"/>
              <w:left w:val="nil"/>
              <w:bottom w:val="single" w:sz="4" w:space="0" w:color="auto"/>
              <w:right w:val="nil"/>
            </w:tcBorders>
            <w:vAlign w:val="center"/>
          </w:tcPr>
          <w:p w:rsidR="00885997" w:rsidRDefault="00885997" w:rsidP="00A946CB">
            <w:pPr>
              <w:spacing w:after="75"/>
              <w:jc w:val="center"/>
              <w:rPr>
                <w:rFonts w:ascii="Times New Roman" w:hAnsi="Times New Roman"/>
                <w:color w:val="000000"/>
                <w:sz w:val="15"/>
              </w:rPr>
            </w:pPr>
            <w:bookmarkStart w:id="0" w:name="122"/>
            <w:r w:rsidRPr="00885997">
              <w:rPr>
                <w:rFonts w:ascii="Times New Roman" w:hAnsi="Times New Roman"/>
                <w:noProof/>
                <w:color w:val="000000"/>
                <w:sz w:val="15"/>
              </w:rPr>
              <w:drawing>
                <wp:anchor distT="0" distB="0" distL="114300" distR="114300" simplePos="0" relativeHeight="251659264" behindDoc="0" locked="0" layoutInCell="1" allowOverlap="1">
                  <wp:simplePos x="0" y="0"/>
                  <wp:positionH relativeFrom="column">
                    <wp:posOffset>-134620</wp:posOffset>
                  </wp:positionH>
                  <wp:positionV relativeFrom="paragraph">
                    <wp:posOffset>-2122805</wp:posOffset>
                  </wp:positionV>
                  <wp:extent cx="1123950" cy="514350"/>
                  <wp:effectExtent l="0" t="0" r="0" b="0"/>
                  <wp:wrapSquare wrapText="right"/>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25220" cy="514350"/>
                          </a:xfrm>
                          <a:prstGeom prst="rect">
                            <a:avLst/>
                          </a:prstGeom>
                          <a:noFill/>
                          <a:ln>
                            <a:noFill/>
                          </a:ln>
                        </pic:spPr>
                      </pic:pic>
                    </a:graphicData>
                  </a:graphic>
                </wp:anchor>
              </w:drawing>
            </w:r>
          </w:p>
        </w:tc>
        <w:tc>
          <w:tcPr>
            <w:tcW w:w="8029" w:type="dxa"/>
            <w:gridSpan w:val="2"/>
            <w:tcBorders>
              <w:top w:val="nil"/>
              <w:left w:val="nil"/>
              <w:bottom w:val="single" w:sz="4" w:space="0" w:color="auto"/>
              <w:right w:val="nil"/>
            </w:tcBorders>
            <w:vAlign w:val="center"/>
          </w:tcPr>
          <w:p w:rsidR="00885997" w:rsidRPr="00885997" w:rsidRDefault="00885997" w:rsidP="00A946CB">
            <w:pPr>
              <w:spacing w:after="75"/>
              <w:jc w:val="center"/>
              <w:rPr>
                <w:rFonts w:ascii="Times New Roman" w:hAnsi="Times New Roman"/>
                <w:b/>
                <w:color w:val="000000"/>
                <w:sz w:val="15"/>
              </w:rPr>
            </w:pPr>
            <w:r w:rsidRPr="00885997">
              <w:rPr>
                <w:rFonts w:ascii="Times New Roman" w:hAnsi="Times New Roman"/>
                <w:b/>
                <w:color w:val="000000"/>
                <w:sz w:val="32"/>
              </w:rPr>
              <w:t>Довідка</w:t>
            </w:r>
            <w:r w:rsidRPr="00885997">
              <w:rPr>
                <w:b/>
              </w:rPr>
              <w:br/>
            </w:r>
            <w:r w:rsidRPr="00885997">
              <w:rPr>
                <w:rFonts w:ascii="Times New Roman" w:hAnsi="Times New Roman"/>
                <w:b/>
                <w:color w:val="000000"/>
                <w:sz w:val="32"/>
              </w:rPr>
              <w:t>про систему гарантування вкладів фізичних осіб</w:t>
            </w:r>
          </w:p>
        </w:tc>
      </w:tr>
      <w:tr w:rsidR="00E86BA1" w:rsidTr="000F4097">
        <w:trPr>
          <w:trHeight w:val="46"/>
          <w:tblCellSpacing w:w="0" w:type="auto"/>
        </w:trPr>
        <w:tc>
          <w:tcPr>
            <w:tcW w:w="0" w:type="auto"/>
            <w:gridSpan w:val="3"/>
            <w:tcBorders>
              <w:top w:val="single" w:sz="4" w:space="0" w:color="auto"/>
              <w:left w:val="outset" w:sz="8" w:space="0" w:color="000000"/>
              <w:bottom w:val="outset" w:sz="8" w:space="0" w:color="000000"/>
              <w:right w:val="outset" w:sz="8" w:space="0" w:color="000000"/>
            </w:tcBorders>
            <w:vAlign w:val="center"/>
          </w:tcPr>
          <w:p w:rsidR="00E86BA1" w:rsidRDefault="00E86BA1" w:rsidP="00A946CB">
            <w:pPr>
              <w:spacing w:after="75"/>
              <w:jc w:val="center"/>
            </w:pPr>
            <w:bookmarkStart w:id="1" w:name="123"/>
            <w:bookmarkEnd w:id="0"/>
            <w:r w:rsidRPr="00885997">
              <w:rPr>
                <w:rFonts w:ascii="Times New Roman" w:hAnsi="Times New Roman"/>
                <w:color w:val="000000"/>
              </w:rPr>
              <w:t>Вклади у</w:t>
            </w:r>
            <w:r w:rsidRPr="00885997">
              <w:br/>
            </w:r>
            <w:r w:rsidR="00885997" w:rsidRPr="00885997">
              <w:rPr>
                <w:rFonts w:ascii="Times New Roman" w:hAnsi="Times New Roman"/>
                <w:b/>
                <w:color w:val="000000"/>
                <w:u w:val="single"/>
              </w:rPr>
              <w:t>АТ «БТА БАНК»</w:t>
            </w:r>
            <w:r>
              <w:br/>
            </w:r>
            <w:r>
              <w:rPr>
                <w:rFonts w:ascii="Times New Roman" w:hAnsi="Times New Roman"/>
                <w:color w:val="000000"/>
                <w:sz w:val="15"/>
              </w:rPr>
              <w:t>(найменування банку)</w:t>
            </w:r>
          </w:p>
          <w:p w:rsidR="00E86BA1" w:rsidRDefault="00885997" w:rsidP="00A946CB">
            <w:pPr>
              <w:spacing w:after="75"/>
              <w:jc w:val="center"/>
            </w:pPr>
            <w:bookmarkStart w:id="2" w:name="124"/>
            <w:bookmarkEnd w:id="1"/>
            <w:r w:rsidRPr="00885997">
              <w:rPr>
                <w:rFonts w:ascii="Times New Roman" w:hAnsi="Times New Roman" w:cs="Times New Roman"/>
                <w:u w:val="single"/>
              </w:rPr>
              <w:t xml:space="preserve">Свідоцтво учасника Фонду гарантування вкладів фізичних осіб № 038 від </w:t>
            </w:r>
            <w:r w:rsidR="00C21D65" w:rsidRPr="00C21D65">
              <w:rPr>
                <w:rFonts w:ascii="Times New Roman" w:hAnsi="Times New Roman" w:cs="Times New Roman"/>
                <w:u w:val="single"/>
              </w:rPr>
              <w:t>20</w:t>
            </w:r>
            <w:r w:rsidRPr="00885997">
              <w:rPr>
                <w:rFonts w:ascii="Times New Roman" w:hAnsi="Times New Roman" w:cs="Times New Roman"/>
                <w:u w:val="single"/>
              </w:rPr>
              <w:t xml:space="preserve"> </w:t>
            </w:r>
            <w:r w:rsidR="00C21D65">
              <w:rPr>
                <w:rFonts w:ascii="Times New Roman" w:hAnsi="Times New Roman" w:cs="Times New Roman"/>
                <w:u w:val="single"/>
              </w:rPr>
              <w:t>серпня 2025</w:t>
            </w:r>
            <w:r w:rsidRPr="00885997">
              <w:rPr>
                <w:rFonts w:ascii="Times New Roman" w:hAnsi="Times New Roman" w:cs="Times New Roman"/>
                <w:u w:val="single"/>
              </w:rPr>
              <w:t xml:space="preserve"> року</w:t>
            </w:r>
            <w:r w:rsidR="00E86BA1">
              <w:br/>
            </w:r>
            <w:r w:rsidR="00E86BA1">
              <w:rPr>
                <w:rFonts w:ascii="Times New Roman" w:hAnsi="Times New Roman"/>
                <w:color w:val="000000"/>
                <w:sz w:val="15"/>
              </w:rPr>
              <w:t>(номер і дата видачі свідоцтва учасника Фонду гарантування вкладів фізичних осіб)</w:t>
            </w:r>
          </w:p>
          <w:p w:rsidR="00E86BA1" w:rsidRPr="00885997" w:rsidRDefault="00E86BA1" w:rsidP="00A946CB">
            <w:pPr>
              <w:spacing w:after="75"/>
              <w:jc w:val="center"/>
            </w:pPr>
            <w:bookmarkStart w:id="3" w:name="159"/>
            <w:bookmarkEnd w:id="2"/>
            <w:r w:rsidRPr="00885997">
              <w:rPr>
                <w:rFonts w:ascii="Times New Roman" w:hAnsi="Times New Roman"/>
                <w:color w:val="000000"/>
              </w:rPr>
              <w:t>гарантовано Фондом гарантування вкладів фізичних осіб (далі - Фонд)</w:t>
            </w:r>
          </w:p>
        </w:tc>
        <w:bookmarkEnd w:id="3"/>
      </w:tr>
      <w:tr w:rsidR="00E86BA1" w:rsidRPr="00885997" w:rsidTr="000F4097">
        <w:trPr>
          <w:trHeight w:val="46"/>
          <w:tblCellSpacing w:w="0" w:type="auto"/>
        </w:trPr>
        <w:tc>
          <w:tcPr>
            <w:tcW w:w="2514" w:type="dxa"/>
            <w:gridSpan w:val="2"/>
            <w:tcBorders>
              <w:top w:val="outset" w:sz="8" w:space="0" w:color="000000"/>
              <w:left w:val="outset" w:sz="8" w:space="0" w:color="000000"/>
              <w:bottom w:val="outset" w:sz="8" w:space="0" w:color="000000"/>
              <w:right w:val="outset" w:sz="8" w:space="0" w:color="000000"/>
            </w:tcBorders>
            <w:vAlign w:val="center"/>
          </w:tcPr>
          <w:p w:rsidR="00E86BA1" w:rsidRPr="00885997" w:rsidRDefault="00E86BA1" w:rsidP="00A946CB">
            <w:pPr>
              <w:spacing w:after="75"/>
            </w:pPr>
            <w:bookmarkStart w:id="4" w:name="125"/>
            <w:r w:rsidRPr="00885997">
              <w:rPr>
                <w:rFonts w:ascii="Times New Roman" w:hAnsi="Times New Roman"/>
                <w:color w:val="000000"/>
              </w:rPr>
              <w:t>Обмеження гарантії</w:t>
            </w:r>
          </w:p>
        </w:tc>
        <w:tc>
          <w:tcPr>
            <w:tcW w:w="7959" w:type="dxa"/>
            <w:tcBorders>
              <w:top w:val="outset" w:sz="8" w:space="0" w:color="000000"/>
              <w:left w:val="outset" w:sz="8" w:space="0" w:color="000000"/>
              <w:bottom w:val="outset" w:sz="8" w:space="0" w:color="000000"/>
              <w:right w:val="outset" w:sz="8" w:space="0" w:color="000000"/>
            </w:tcBorders>
            <w:vAlign w:val="center"/>
          </w:tcPr>
          <w:p w:rsidR="00E86BA1" w:rsidRPr="00885997" w:rsidRDefault="00E86BA1" w:rsidP="00A946CB">
            <w:pPr>
              <w:spacing w:after="75"/>
            </w:pPr>
            <w:bookmarkStart w:id="5" w:name="126"/>
            <w:bookmarkEnd w:id="4"/>
            <w:r w:rsidRPr="00885997">
              <w:rPr>
                <w:rFonts w:ascii="Times New Roman" w:hAnsi="Times New Roman"/>
                <w:color w:val="000000"/>
              </w:rPr>
              <w:t>Кожному вкладнику відшкодовуються кошти в розмірі вкладу (включно з відсотками) станом на кінець дня, що передує дню початку процедури виведення Фондом банку з ринку, але не більше суми граничного розміру відшкодування коштів за вкладами, встановленого на цей день, незалежно від кількості вкладів в одному банку.</w:t>
            </w:r>
            <w:r w:rsidRPr="00885997">
              <w:br/>
            </w:r>
            <w:r w:rsidRPr="00885997">
              <w:rPr>
                <w:rFonts w:ascii="Times New Roman" w:hAnsi="Times New Roman"/>
                <w:color w:val="000000"/>
              </w:rPr>
              <w:t xml:space="preserve">У разі прийняття Національним банком України рішення про відкликання банківської ліцензії та ліквідацію банку з підстав, визначених частиною другою </w:t>
            </w:r>
            <w:r w:rsidRPr="00885997">
              <w:rPr>
                <w:rFonts w:ascii="Times New Roman" w:hAnsi="Times New Roman"/>
                <w:color w:val="293A55"/>
              </w:rPr>
              <w:t>статті 77 Закону України "Про банки і банківську діяльність"</w:t>
            </w:r>
            <w:r w:rsidRPr="00885997">
              <w:rPr>
                <w:rFonts w:ascii="Times New Roman" w:hAnsi="Times New Roman"/>
                <w:color w:val="000000"/>
              </w:rPr>
              <w:t>, кожному вкладнику гарантується відшкодування коштів за вкладами (включно з відсотками) на кінець дня, що передує дню початку процедури ліквідації банку, але не більше суми граничного розміру відшкодування коштів за вкладами, встановленого на дату прийняття такого рішення, незалежно від кількості вкладів в одному банку.</w:t>
            </w:r>
            <w:r w:rsidRPr="00885997">
              <w:br/>
            </w:r>
            <w:r w:rsidRPr="00885997">
              <w:rPr>
                <w:rFonts w:ascii="Times New Roman" w:hAnsi="Times New Roman"/>
                <w:color w:val="000000"/>
              </w:rPr>
              <w:t xml:space="preserve">Через три місяці з дня, наступного за днем припинення чи скасування воєнного стану в Україні, введеного </w:t>
            </w:r>
            <w:r w:rsidRPr="00885997">
              <w:rPr>
                <w:rFonts w:ascii="Times New Roman" w:hAnsi="Times New Roman"/>
                <w:color w:val="293A55"/>
              </w:rPr>
              <w:t>Указом Президента України "Про введення воєнного стану в Україні" від 24 лютого 2022 року N 64/2022</w:t>
            </w:r>
            <w:r w:rsidRPr="00885997">
              <w:rPr>
                <w:rFonts w:ascii="Times New Roman" w:hAnsi="Times New Roman"/>
                <w:color w:val="000000"/>
              </w:rPr>
              <w:t xml:space="preserve">, затвердженим </w:t>
            </w:r>
            <w:r w:rsidRPr="00885997">
              <w:rPr>
                <w:rFonts w:ascii="Times New Roman" w:hAnsi="Times New Roman"/>
                <w:color w:val="293A55"/>
              </w:rPr>
              <w:t>Законом України "Про затвердження Указу Президента України "Про введення воєнного стану в Україні" від 24 лютого 2022 року N 2102-IX</w:t>
            </w:r>
            <w:r w:rsidRPr="00885997">
              <w:rPr>
                <w:rFonts w:ascii="Times New Roman" w:hAnsi="Times New Roman"/>
                <w:color w:val="000000"/>
              </w:rPr>
              <w:t xml:space="preserve"> (далі - воєнний стан в Україні), сума граничного розміру відшкодування коштів за вкладами не може становити менше 600 тисяч гривень.</w:t>
            </w:r>
            <w:r w:rsidRPr="00885997">
              <w:br/>
            </w:r>
            <w:r w:rsidRPr="00885997">
              <w:rPr>
                <w:rFonts w:ascii="Times New Roman" w:hAnsi="Times New Roman"/>
                <w:color w:val="000000"/>
              </w:rPr>
              <w:t xml:space="preserve">Протягом дії воєнного стану в Україні та трьох місяців з дня припинення чи скасування воєнного стану в Україні Фонд відшкодовує кожному вкладнику банку кошти в повному розмірі вкладу, включаючи відсотки, нараховані станом на кінець дня, що передує дню початку процедури виведення банку з ринку, крім випадків, передбачених частиною четвертою </w:t>
            </w:r>
            <w:r w:rsidRPr="00885997">
              <w:rPr>
                <w:rFonts w:ascii="Times New Roman" w:hAnsi="Times New Roman"/>
                <w:color w:val="293A55"/>
              </w:rPr>
              <w:t>статті 26 Закону України "Про систему гарантування вкладів фізичних осіб"</w:t>
            </w:r>
            <w:r w:rsidRPr="00885997">
              <w:rPr>
                <w:rFonts w:ascii="Times New Roman" w:hAnsi="Times New Roman"/>
                <w:color w:val="000000"/>
              </w:rPr>
              <w:t>.</w:t>
            </w:r>
            <w:r w:rsidRPr="00885997">
              <w:br/>
            </w:r>
            <w:r w:rsidRPr="00885997">
              <w:rPr>
                <w:rFonts w:ascii="Times New Roman" w:hAnsi="Times New Roman"/>
                <w:color w:val="000000"/>
              </w:rPr>
              <w:t>Відповідно до частини четвертої статті 26 Закону України "Про систему гарантування вкладів фізичних осіб", не відшкодовуються кошти:</w:t>
            </w:r>
            <w:r w:rsidRPr="00885997">
              <w:br/>
            </w:r>
            <w:r w:rsidRPr="00885997">
              <w:rPr>
                <w:rFonts w:ascii="Times New Roman" w:hAnsi="Times New Roman"/>
                <w:color w:val="000000"/>
              </w:rPr>
              <w:t>передані банку в довірче управління;</w:t>
            </w:r>
            <w:r w:rsidRPr="00885997">
              <w:br/>
            </w:r>
            <w:r w:rsidRPr="00885997">
              <w:rPr>
                <w:rFonts w:ascii="Times New Roman" w:hAnsi="Times New Roman"/>
                <w:color w:val="000000"/>
              </w:rPr>
              <w:t>за вкладом у розмірі менше ніж 10 гривень;</w:t>
            </w:r>
            <w:r w:rsidRPr="00885997">
              <w:br/>
            </w:r>
            <w:r w:rsidRPr="00885997">
              <w:rPr>
                <w:rFonts w:ascii="Times New Roman" w:hAnsi="Times New Roman"/>
                <w:color w:val="000000"/>
              </w:rPr>
              <w:t>розміщені на вклад у банку особою, яка є пов'язаною з банком особою або була такою особою протягом року до дня прийняття Національним банком України рішення про віднесення такого банку до категорії неплатоспроможних або до дня прийняття Національним банком України рішення про відкликання банківської ліцензії та ліквідацію банку з підстав, визначених частиною другою статті 77 Закону України "Про банки і банківську діяльність";</w:t>
            </w:r>
            <w:r w:rsidRPr="00885997">
              <w:br/>
            </w:r>
            <w:r w:rsidRPr="00885997">
              <w:rPr>
                <w:rFonts w:ascii="Times New Roman" w:hAnsi="Times New Roman"/>
                <w:color w:val="000000"/>
              </w:rPr>
              <w:t xml:space="preserve">розміщені на вклад у банку особою, яка надавала банку професійні послуги як аудитор, оцінювач, у разі, якщо з дня припинення надання послуг до дня прийняття Національним банком України рішення про віднесення такого банку до категорії неплатоспроможних не минув один рік (у разі прийняття Національним банком України рішення про відкликання банківської ліцензії та ліквідацію банку з підстав, визначених частиною другою </w:t>
            </w:r>
            <w:r w:rsidRPr="00885997">
              <w:rPr>
                <w:rFonts w:ascii="Times New Roman" w:hAnsi="Times New Roman"/>
                <w:color w:val="293A55"/>
              </w:rPr>
              <w:t xml:space="preserve">статті 77 Закону </w:t>
            </w:r>
            <w:r w:rsidRPr="00885997">
              <w:rPr>
                <w:rFonts w:ascii="Times New Roman" w:hAnsi="Times New Roman"/>
                <w:color w:val="293A55"/>
              </w:rPr>
              <w:lastRenderedPageBreak/>
              <w:t>України "Про банки і банківську діяльність"</w:t>
            </w:r>
            <w:r w:rsidRPr="00885997">
              <w:rPr>
                <w:rFonts w:ascii="Times New Roman" w:hAnsi="Times New Roman"/>
                <w:color w:val="000000"/>
              </w:rPr>
              <w:t>, - один рік до дня прийняття такого рішення);</w:t>
            </w:r>
            <w:r w:rsidRPr="00885997">
              <w:br/>
            </w:r>
            <w:r w:rsidRPr="00885997">
              <w:rPr>
                <w:rFonts w:ascii="Times New Roman" w:hAnsi="Times New Roman"/>
                <w:color w:val="000000"/>
              </w:rPr>
              <w:t>розміщені на вклад власником істотної участі у банку;</w:t>
            </w:r>
            <w:r w:rsidRPr="00885997">
              <w:br/>
            </w:r>
            <w:r w:rsidRPr="00885997">
              <w:rPr>
                <w:rFonts w:ascii="Times New Roman" w:hAnsi="Times New Roman"/>
                <w:color w:val="000000"/>
              </w:rPr>
              <w:t xml:space="preserve">за вкладами у банку, за якими вкладники на індивідуальній основі отримують від банку проценти за договорами, укладеними на умовах, що не є поточними ринковими умовами відповідно до </w:t>
            </w:r>
            <w:r w:rsidRPr="00885997">
              <w:rPr>
                <w:rFonts w:ascii="Times New Roman" w:hAnsi="Times New Roman"/>
                <w:color w:val="293A55"/>
              </w:rPr>
              <w:t>статті 52 Закону України "Про банки і банківську діяльність"</w:t>
            </w:r>
            <w:r w:rsidRPr="00885997">
              <w:rPr>
                <w:rFonts w:ascii="Times New Roman" w:hAnsi="Times New Roman"/>
                <w:color w:val="000000"/>
              </w:rPr>
              <w:t>, або мають інші фінансові привілеї від банку;</w:t>
            </w:r>
            <w:r w:rsidRPr="00885997">
              <w:br/>
            </w:r>
            <w:r w:rsidRPr="00885997">
              <w:rPr>
                <w:rFonts w:ascii="Times New Roman" w:hAnsi="Times New Roman"/>
                <w:color w:val="000000"/>
              </w:rPr>
              <w:t>за вкладом у банку, якщо такий вклад використовується вкладником як засіб забезпечення виконання іншого зобов'язання перед цим банком, у повному обсязі вкладу до дня виконання зобов'язань;</w:t>
            </w:r>
            <w:r w:rsidRPr="00885997">
              <w:br/>
            </w:r>
            <w:r w:rsidRPr="00885997">
              <w:rPr>
                <w:rFonts w:ascii="Times New Roman" w:hAnsi="Times New Roman"/>
                <w:color w:val="000000"/>
              </w:rPr>
              <w:t>за вкладами у філіях іноземних банків;</w:t>
            </w:r>
            <w:r w:rsidRPr="00885997">
              <w:br/>
            </w:r>
            <w:r w:rsidRPr="00885997">
              <w:rPr>
                <w:rFonts w:ascii="Times New Roman" w:hAnsi="Times New Roman"/>
                <w:color w:val="000000"/>
              </w:rPr>
              <w:t>за вкладами у банківських металах;</w:t>
            </w:r>
            <w:r w:rsidRPr="00885997">
              <w:br/>
            </w:r>
            <w:r w:rsidRPr="00885997">
              <w:rPr>
                <w:rFonts w:ascii="Times New Roman" w:hAnsi="Times New Roman"/>
                <w:color w:val="000000"/>
              </w:rPr>
              <w:t>розміщені на рахунках, що перебувають під арештом за рішенням суду;</w:t>
            </w:r>
            <w:r w:rsidRPr="00885997">
              <w:br/>
            </w:r>
            <w:r w:rsidRPr="00885997">
              <w:rPr>
                <w:rFonts w:ascii="Times New Roman" w:hAnsi="Times New Roman"/>
                <w:color w:val="000000"/>
              </w:rPr>
              <w:t xml:space="preserve">за вкладом, задоволення вимог за яким зупинено відповідно до </w:t>
            </w:r>
            <w:r w:rsidRPr="00885997">
              <w:rPr>
                <w:rFonts w:ascii="Times New Roman" w:hAnsi="Times New Roman"/>
                <w:color w:val="293A55"/>
              </w:rPr>
              <w:t>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Pr="00885997">
              <w:rPr>
                <w:rFonts w:ascii="Times New Roman" w:hAnsi="Times New Roman"/>
                <w:color w:val="000000"/>
              </w:rPr>
              <w:t>;</w:t>
            </w:r>
            <w:r w:rsidRPr="00885997">
              <w:br/>
            </w:r>
            <w:r w:rsidRPr="00885997">
              <w:rPr>
                <w:rFonts w:ascii="Times New Roman" w:hAnsi="Times New Roman"/>
                <w:color w:val="000000"/>
              </w:rPr>
              <w:t xml:space="preserve">розміщені на вклад у банку особою, до якої застосовано санкції іноземними державами (крім держав, що здійснили або здійснюють збройну агресію проти України у значенні, наведеному в </w:t>
            </w:r>
            <w:r w:rsidRPr="00885997">
              <w:rPr>
                <w:rFonts w:ascii="Times New Roman" w:hAnsi="Times New Roman"/>
                <w:color w:val="293A55"/>
              </w:rPr>
              <w:t>Законі України "Про оборону України"</w:t>
            </w:r>
            <w:r w:rsidRPr="00885997">
              <w:rPr>
                <w:rFonts w:ascii="Times New Roman" w:hAnsi="Times New Roman"/>
                <w:color w:val="000000"/>
              </w:rPr>
              <w:t xml:space="preserve">) або міждержавними об'єднаннями, або міжнародними організаціями та/або застосовано санкції відповідно до </w:t>
            </w:r>
            <w:r w:rsidRPr="00885997">
              <w:rPr>
                <w:rFonts w:ascii="Times New Roman" w:hAnsi="Times New Roman"/>
                <w:color w:val="293A55"/>
              </w:rPr>
              <w:t>Закону України "Про санкції"</w:t>
            </w:r>
            <w:r w:rsidRPr="00885997">
              <w:rPr>
                <w:rFonts w:ascii="Times New Roman" w:hAnsi="Times New Roman"/>
                <w:color w:val="000000"/>
              </w:rPr>
              <w:t>.</w:t>
            </w:r>
          </w:p>
        </w:tc>
        <w:bookmarkEnd w:id="5"/>
      </w:tr>
      <w:tr w:rsidR="00E86BA1" w:rsidRPr="00885997" w:rsidTr="000F4097">
        <w:trPr>
          <w:trHeight w:val="46"/>
          <w:tblCellSpacing w:w="0" w:type="auto"/>
        </w:trPr>
        <w:tc>
          <w:tcPr>
            <w:tcW w:w="2514" w:type="dxa"/>
            <w:gridSpan w:val="2"/>
            <w:tcBorders>
              <w:top w:val="outset" w:sz="8" w:space="0" w:color="000000"/>
              <w:left w:val="outset" w:sz="8" w:space="0" w:color="000000"/>
              <w:bottom w:val="outset" w:sz="8" w:space="0" w:color="000000"/>
              <w:right w:val="outset" w:sz="8" w:space="0" w:color="000000"/>
            </w:tcBorders>
            <w:vAlign w:val="center"/>
          </w:tcPr>
          <w:p w:rsidR="00E86BA1" w:rsidRPr="00885997" w:rsidRDefault="00E86BA1" w:rsidP="00A946CB">
            <w:pPr>
              <w:spacing w:after="75"/>
            </w:pPr>
            <w:bookmarkStart w:id="6" w:name="127"/>
            <w:r w:rsidRPr="00885997">
              <w:rPr>
                <w:rFonts w:ascii="Times New Roman" w:hAnsi="Times New Roman"/>
                <w:color w:val="000000"/>
              </w:rPr>
              <w:lastRenderedPageBreak/>
              <w:t>Якщо у вкладника більше одного вкладу в банку</w:t>
            </w:r>
          </w:p>
        </w:tc>
        <w:tc>
          <w:tcPr>
            <w:tcW w:w="7959" w:type="dxa"/>
            <w:tcBorders>
              <w:top w:val="outset" w:sz="8" w:space="0" w:color="000000"/>
              <w:left w:val="outset" w:sz="8" w:space="0" w:color="000000"/>
              <w:bottom w:val="outset" w:sz="8" w:space="0" w:color="000000"/>
              <w:right w:val="outset" w:sz="8" w:space="0" w:color="000000"/>
            </w:tcBorders>
            <w:vAlign w:val="center"/>
          </w:tcPr>
          <w:p w:rsidR="00E86BA1" w:rsidRPr="00885997" w:rsidRDefault="00E86BA1" w:rsidP="00A946CB">
            <w:pPr>
              <w:spacing w:after="75"/>
            </w:pPr>
            <w:bookmarkStart w:id="7" w:name="128"/>
            <w:bookmarkEnd w:id="6"/>
            <w:r w:rsidRPr="00885997">
              <w:rPr>
                <w:rFonts w:ascii="Times New Roman" w:hAnsi="Times New Roman"/>
                <w:color w:val="000000"/>
              </w:rPr>
              <w:t xml:space="preserve">Фонд, відповідно до </w:t>
            </w:r>
            <w:r w:rsidRPr="00885997">
              <w:rPr>
                <w:rFonts w:ascii="Times New Roman" w:hAnsi="Times New Roman"/>
                <w:color w:val="293A55"/>
              </w:rPr>
              <w:t>статті 26 Закону України "Про систему гарантування вкладів фізичних осіб"</w:t>
            </w:r>
            <w:r w:rsidRPr="00885997">
              <w:rPr>
                <w:rFonts w:ascii="Times New Roman" w:hAnsi="Times New Roman"/>
                <w:color w:val="000000"/>
              </w:rPr>
              <w:t>, відшкодовує кошти в розмірі вкладу (включно з відсотками), але не більше суми граничного розміру відшкодування коштів за вкладами, незалежно від кількості вкладів в одному банку.</w:t>
            </w:r>
          </w:p>
        </w:tc>
        <w:bookmarkEnd w:id="7"/>
      </w:tr>
      <w:tr w:rsidR="00E86BA1" w:rsidRPr="00885997" w:rsidTr="000F4097">
        <w:trPr>
          <w:trHeight w:val="46"/>
          <w:tblCellSpacing w:w="0" w:type="auto"/>
        </w:trPr>
        <w:tc>
          <w:tcPr>
            <w:tcW w:w="2514" w:type="dxa"/>
            <w:gridSpan w:val="2"/>
            <w:tcBorders>
              <w:top w:val="outset" w:sz="8" w:space="0" w:color="000000"/>
              <w:left w:val="outset" w:sz="8" w:space="0" w:color="000000"/>
              <w:bottom w:val="outset" w:sz="8" w:space="0" w:color="000000"/>
              <w:right w:val="outset" w:sz="8" w:space="0" w:color="000000"/>
            </w:tcBorders>
            <w:vAlign w:val="center"/>
          </w:tcPr>
          <w:p w:rsidR="00E86BA1" w:rsidRPr="00885997" w:rsidRDefault="00E86BA1" w:rsidP="00A946CB">
            <w:pPr>
              <w:spacing w:after="75"/>
            </w:pPr>
            <w:bookmarkStart w:id="8" w:name="129"/>
            <w:r w:rsidRPr="00885997">
              <w:rPr>
                <w:rFonts w:ascii="Times New Roman" w:hAnsi="Times New Roman"/>
                <w:color w:val="000000"/>
              </w:rPr>
              <w:t>Період відшкодування коштів</w:t>
            </w:r>
          </w:p>
        </w:tc>
        <w:tc>
          <w:tcPr>
            <w:tcW w:w="7959" w:type="dxa"/>
            <w:tcBorders>
              <w:top w:val="outset" w:sz="8" w:space="0" w:color="000000"/>
              <w:left w:val="outset" w:sz="8" w:space="0" w:color="000000"/>
              <w:bottom w:val="outset" w:sz="8" w:space="0" w:color="000000"/>
              <w:right w:val="outset" w:sz="8" w:space="0" w:color="000000"/>
            </w:tcBorders>
            <w:vAlign w:val="center"/>
          </w:tcPr>
          <w:p w:rsidR="00E86BA1" w:rsidRPr="00885997" w:rsidRDefault="00E86BA1" w:rsidP="00A946CB">
            <w:pPr>
              <w:spacing w:after="75"/>
            </w:pPr>
            <w:bookmarkStart w:id="9" w:name="130"/>
            <w:bookmarkEnd w:id="8"/>
            <w:r w:rsidRPr="00885997">
              <w:rPr>
                <w:rFonts w:ascii="Times New Roman" w:hAnsi="Times New Roman"/>
                <w:color w:val="000000"/>
              </w:rPr>
              <w:t xml:space="preserve">Виплата відшкодування коштів розпочинається в порядку та у черговості, встановлених Фондом, не пізніше ніж 20 робочих днів (для банків, база даних про вкладників яких містить інформацію про більше ніж 500000 рахунків, - не пізніше ніж 30 робочих днів) з дня початку процедури виведення Фондом банку з ринку або з дня початку процедури ліквідації банку - у разі прийняття Національним банком України рішення про відкликання банківської ліцензії та ліквідацію банку з підстав, визначених частиною другою </w:t>
            </w:r>
            <w:r w:rsidRPr="00885997">
              <w:rPr>
                <w:rFonts w:ascii="Times New Roman" w:hAnsi="Times New Roman"/>
                <w:color w:val="293A55"/>
              </w:rPr>
              <w:t>статті 77 Закону України "Про банки і банківську діяльність"</w:t>
            </w:r>
            <w:r w:rsidRPr="00885997">
              <w:rPr>
                <w:rFonts w:ascii="Times New Roman" w:hAnsi="Times New Roman"/>
                <w:color w:val="000000"/>
              </w:rPr>
              <w:t>.</w:t>
            </w:r>
            <w:r w:rsidRPr="00885997">
              <w:br/>
            </w:r>
            <w:r w:rsidRPr="00885997">
              <w:rPr>
                <w:rFonts w:ascii="Times New Roman" w:hAnsi="Times New Roman"/>
                <w:color w:val="000000"/>
              </w:rPr>
              <w:t>Фонд має право не включати до розрахунку гарантованої суми відшкодування кошти за договорами банківського рахунка до отримання в повному обсязі інформації про операції, здійснені платіжною системою (внутрішньодержавною та міжнародною).</w:t>
            </w:r>
            <w:r w:rsidRPr="00885997">
              <w:br/>
            </w:r>
            <w:r w:rsidRPr="00885997">
              <w:rPr>
                <w:rFonts w:ascii="Times New Roman" w:hAnsi="Times New Roman"/>
                <w:color w:val="000000"/>
              </w:rPr>
              <w:t>Виплата гарантованої суми відшкодування за договорами банківського рахунка здійснюється тільки після отримання Фондом у повному обсязі інформації про операції, здійснені платіжною системою (внутрішньодержавною та міжнародною).</w:t>
            </w:r>
          </w:p>
        </w:tc>
        <w:bookmarkEnd w:id="9"/>
      </w:tr>
      <w:tr w:rsidR="00E86BA1" w:rsidRPr="00885997" w:rsidTr="000F4097">
        <w:trPr>
          <w:trHeight w:val="46"/>
          <w:tblCellSpacing w:w="0" w:type="auto"/>
        </w:trPr>
        <w:tc>
          <w:tcPr>
            <w:tcW w:w="2514" w:type="dxa"/>
            <w:gridSpan w:val="2"/>
            <w:tcBorders>
              <w:top w:val="outset" w:sz="8" w:space="0" w:color="000000"/>
              <w:left w:val="outset" w:sz="8" w:space="0" w:color="000000"/>
              <w:bottom w:val="outset" w:sz="8" w:space="0" w:color="000000"/>
              <w:right w:val="outset" w:sz="8" w:space="0" w:color="000000"/>
            </w:tcBorders>
            <w:vAlign w:val="center"/>
          </w:tcPr>
          <w:p w:rsidR="00E86BA1" w:rsidRPr="00885997" w:rsidRDefault="00E86BA1" w:rsidP="00A946CB">
            <w:pPr>
              <w:spacing w:after="75"/>
            </w:pPr>
            <w:bookmarkStart w:id="10" w:name="131"/>
            <w:r w:rsidRPr="00885997">
              <w:rPr>
                <w:rFonts w:ascii="Times New Roman" w:hAnsi="Times New Roman"/>
                <w:color w:val="000000"/>
              </w:rPr>
              <w:t>Валюта відшкодування</w:t>
            </w:r>
          </w:p>
        </w:tc>
        <w:tc>
          <w:tcPr>
            <w:tcW w:w="7959" w:type="dxa"/>
            <w:tcBorders>
              <w:top w:val="outset" w:sz="8" w:space="0" w:color="000000"/>
              <w:left w:val="outset" w:sz="8" w:space="0" w:color="000000"/>
              <w:bottom w:val="outset" w:sz="8" w:space="0" w:color="000000"/>
              <w:right w:val="outset" w:sz="8" w:space="0" w:color="000000"/>
            </w:tcBorders>
            <w:vAlign w:val="center"/>
          </w:tcPr>
          <w:p w:rsidR="00E86BA1" w:rsidRPr="00885997" w:rsidRDefault="00E86BA1" w:rsidP="00A946CB">
            <w:pPr>
              <w:spacing w:after="75"/>
            </w:pPr>
            <w:bookmarkStart w:id="11" w:name="132"/>
            <w:bookmarkEnd w:id="10"/>
            <w:r w:rsidRPr="00885997">
              <w:rPr>
                <w:rFonts w:ascii="Times New Roman" w:hAnsi="Times New Roman"/>
                <w:color w:val="000000"/>
              </w:rPr>
              <w:t xml:space="preserve">Відшкодування коштів за вкладом в іноземній валюті відбувається у національній валюті України після перерахування суми вкладу за офіційним курсом гривні до іноземних валют, встановленим Національним банком України на кінець дня, що передує дню початку процедури виведення Фондом банку з ринку та здійснення тимчасової адміністрації відповідно до </w:t>
            </w:r>
            <w:r w:rsidRPr="00885997">
              <w:rPr>
                <w:rFonts w:ascii="Times New Roman" w:hAnsi="Times New Roman"/>
                <w:color w:val="293A55"/>
              </w:rPr>
              <w:t>статті 36 Закону України "Про систему гарантування вкладів фізичних осіб"</w:t>
            </w:r>
            <w:r w:rsidRPr="00885997">
              <w:rPr>
                <w:rFonts w:ascii="Times New Roman" w:hAnsi="Times New Roman"/>
                <w:color w:val="000000"/>
              </w:rPr>
              <w:t>.</w:t>
            </w:r>
            <w:r w:rsidRPr="00885997">
              <w:br/>
            </w:r>
            <w:r w:rsidRPr="00885997">
              <w:rPr>
                <w:rFonts w:ascii="Times New Roman" w:hAnsi="Times New Roman"/>
                <w:color w:val="000000"/>
              </w:rPr>
              <w:t xml:space="preserve">У разі прийняття Національним банком України рішення про відкликання банківської ліцензії та ліквідацію банку з підстав, визначених частиною другою </w:t>
            </w:r>
            <w:r w:rsidRPr="00885997">
              <w:rPr>
                <w:rFonts w:ascii="Times New Roman" w:hAnsi="Times New Roman"/>
                <w:color w:val="293A55"/>
              </w:rPr>
              <w:lastRenderedPageBreak/>
              <w:t>статті 77 Закону України "Про банки і банківську діяльність"</w:t>
            </w:r>
            <w:r w:rsidRPr="00885997">
              <w:rPr>
                <w:rFonts w:ascii="Times New Roman" w:hAnsi="Times New Roman"/>
                <w:color w:val="000000"/>
              </w:rPr>
              <w:t>, відшкодування коштів за вкладом в іноземній валюті здійснюється в національній валюті України після перерахування суми вкладу за офіційним курсом гривні до іноземної валюти, встановленим Національним банком України станом на кінець дня, що передує дню початку процедури ліквідації банку.</w:t>
            </w:r>
          </w:p>
        </w:tc>
        <w:bookmarkEnd w:id="11"/>
      </w:tr>
      <w:tr w:rsidR="00E86BA1" w:rsidRPr="00885997" w:rsidTr="000F4097">
        <w:trPr>
          <w:trHeight w:val="46"/>
          <w:tblCellSpacing w:w="0" w:type="auto"/>
        </w:trPr>
        <w:tc>
          <w:tcPr>
            <w:tcW w:w="2514" w:type="dxa"/>
            <w:gridSpan w:val="2"/>
            <w:tcBorders>
              <w:top w:val="outset" w:sz="8" w:space="0" w:color="000000"/>
              <w:left w:val="outset" w:sz="8" w:space="0" w:color="000000"/>
              <w:bottom w:val="outset" w:sz="8" w:space="0" w:color="000000"/>
              <w:right w:val="outset" w:sz="8" w:space="0" w:color="000000"/>
            </w:tcBorders>
            <w:vAlign w:val="center"/>
          </w:tcPr>
          <w:p w:rsidR="00E86BA1" w:rsidRPr="00885997" w:rsidRDefault="00E86BA1" w:rsidP="00A946CB">
            <w:pPr>
              <w:spacing w:after="75"/>
            </w:pPr>
            <w:bookmarkStart w:id="12" w:name="133"/>
            <w:r w:rsidRPr="00885997">
              <w:rPr>
                <w:rFonts w:ascii="Times New Roman" w:hAnsi="Times New Roman"/>
                <w:color w:val="000000"/>
              </w:rPr>
              <w:lastRenderedPageBreak/>
              <w:t>Контактна інформація Фонду</w:t>
            </w:r>
          </w:p>
        </w:tc>
        <w:tc>
          <w:tcPr>
            <w:tcW w:w="7959" w:type="dxa"/>
            <w:tcBorders>
              <w:top w:val="outset" w:sz="8" w:space="0" w:color="000000"/>
              <w:left w:val="outset" w:sz="8" w:space="0" w:color="000000"/>
              <w:bottom w:val="outset" w:sz="8" w:space="0" w:color="000000"/>
              <w:right w:val="outset" w:sz="8" w:space="0" w:color="000000"/>
            </w:tcBorders>
            <w:vAlign w:val="center"/>
          </w:tcPr>
          <w:p w:rsidR="00E86BA1" w:rsidRPr="00885997" w:rsidRDefault="00E86BA1" w:rsidP="00A946CB">
            <w:pPr>
              <w:spacing w:after="75"/>
            </w:pPr>
            <w:bookmarkStart w:id="13" w:name="134"/>
            <w:bookmarkEnd w:id="12"/>
            <w:r w:rsidRPr="00885997">
              <w:rPr>
                <w:rFonts w:ascii="Times New Roman" w:hAnsi="Times New Roman"/>
                <w:color w:val="000000"/>
              </w:rPr>
              <w:t>04053, м. Київ, вулиця Січових Стрільців, 17,</w:t>
            </w:r>
            <w:r w:rsidRPr="00885997">
              <w:br/>
            </w:r>
            <w:r w:rsidRPr="00885997">
              <w:rPr>
                <w:rFonts w:ascii="Times New Roman" w:hAnsi="Times New Roman"/>
                <w:color w:val="000000"/>
              </w:rPr>
              <w:t>номер телефону гарячої лінії</w:t>
            </w:r>
            <w:r w:rsidRPr="00885997">
              <w:br/>
            </w:r>
            <w:r w:rsidRPr="00885997">
              <w:rPr>
                <w:rFonts w:ascii="Times New Roman" w:hAnsi="Times New Roman"/>
                <w:color w:val="000000"/>
              </w:rPr>
              <w:t>0-800-105-800,</w:t>
            </w:r>
            <w:r w:rsidRPr="00885997">
              <w:br/>
            </w:r>
            <w:r w:rsidRPr="00885997">
              <w:rPr>
                <w:rFonts w:ascii="Times New Roman" w:hAnsi="Times New Roman"/>
                <w:color w:val="000000"/>
              </w:rPr>
              <w:t>(044) 333-36-55</w:t>
            </w:r>
          </w:p>
        </w:tc>
        <w:bookmarkEnd w:id="13"/>
      </w:tr>
      <w:tr w:rsidR="00E86BA1" w:rsidRPr="00885997" w:rsidTr="000F4097">
        <w:trPr>
          <w:trHeight w:val="46"/>
          <w:tblCellSpacing w:w="0" w:type="auto"/>
        </w:trPr>
        <w:tc>
          <w:tcPr>
            <w:tcW w:w="2514" w:type="dxa"/>
            <w:gridSpan w:val="2"/>
            <w:tcBorders>
              <w:top w:val="outset" w:sz="8" w:space="0" w:color="000000"/>
              <w:left w:val="outset" w:sz="8" w:space="0" w:color="000000"/>
              <w:bottom w:val="outset" w:sz="8" w:space="0" w:color="000000"/>
              <w:right w:val="outset" w:sz="8" w:space="0" w:color="000000"/>
            </w:tcBorders>
            <w:vAlign w:val="center"/>
          </w:tcPr>
          <w:p w:rsidR="00E86BA1" w:rsidRPr="00885997" w:rsidRDefault="00E86BA1" w:rsidP="00A946CB">
            <w:pPr>
              <w:spacing w:after="75"/>
            </w:pPr>
            <w:bookmarkStart w:id="14" w:name="135"/>
            <w:r w:rsidRPr="00885997">
              <w:rPr>
                <w:rFonts w:ascii="Times New Roman" w:hAnsi="Times New Roman"/>
                <w:color w:val="000000"/>
              </w:rPr>
              <w:t>Докладніша інформація</w:t>
            </w:r>
          </w:p>
        </w:tc>
        <w:tc>
          <w:tcPr>
            <w:tcW w:w="7959" w:type="dxa"/>
            <w:tcBorders>
              <w:top w:val="outset" w:sz="8" w:space="0" w:color="000000"/>
              <w:left w:val="outset" w:sz="8" w:space="0" w:color="000000"/>
              <w:bottom w:val="outset" w:sz="8" w:space="0" w:color="000000"/>
              <w:right w:val="outset" w:sz="8" w:space="0" w:color="000000"/>
            </w:tcBorders>
            <w:vAlign w:val="center"/>
          </w:tcPr>
          <w:p w:rsidR="00E86BA1" w:rsidRPr="00885997" w:rsidRDefault="00E86BA1" w:rsidP="00A946CB">
            <w:pPr>
              <w:spacing w:after="75"/>
            </w:pPr>
            <w:bookmarkStart w:id="15" w:name="136"/>
            <w:bookmarkEnd w:id="14"/>
            <w:r w:rsidRPr="00885997">
              <w:rPr>
                <w:rFonts w:ascii="Times New Roman" w:hAnsi="Times New Roman"/>
                <w:color w:val="000000"/>
              </w:rPr>
              <w:t>http://www.fg.gov.ua</w:t>
            </w:r>
          </w:p>
        </w:tc>
        <w:bookmarkEnd w:id="15"/>
      </w:tr>
      <w:tr w:rsidR="00E86BA1" w:rsidTr="000F4097">
        <w:trPr>
          <w:trHeight w:val="46"/>
          <w:tblCellSpacing w:w="0" w:type="auto"/>
        </w:trPr>
        <w:tc>
          <w:tcPr>
            <w:tcW w:w="2514" w:type="dxa"/>
            <w:gridSpan w:val="2"/>
            <w:tcBorders>
              <w:top w:val="outset" w:sz="8" w:space="0" w:color="000000"/>
              <w:left w:val="outset" w:sz="8" w:space="0" w:color="000000"/>
              <w:bottom w:val="outset" w:sz="8" w:space="0" w:color="000000"/>
              <w:right w:val="outset" w:sz="8" w:space="0" w:color="000000"/>
            </w:tcBorders>
            <w:vAlign w:val="center"/>
          </w:tcPr>
          <w:p w:rsidR="00E86BA1" w:rsidRPr="00885997" w:rsidRDefault="00E86BA1" w:rsidP="00A946CB">
            <w:pPr>
              <w:spacing w:after="75"/>
            </w:pPr>
            <w:bookmarkStart w:id="16" w:name="137"/>
            <w:r w:rsidRPr="00885997">
              <w:rPr>
                <w:rFonts w:ascii="Times New Roman" w:hAnsi="Times New Roman"/>
                <w:color w:val="000000"/>
              </w:rPr>
              <w:t>Підтвердження одержання вкладником</w:t>
            </w:r>
          </w:p>
        </w:tc>
        <w:tc>
          <w:tcPr>
            <w:tcW w:w="7959" w:type="dxa"/>
            <w:tcBorders>
              <w:top w:val="outset" w:sz="8" w:space="0" w:color="000000"/>
              <w:left w:val="outset" w:sz="8" w:space="0" w:color="000000"/>
              <w:bottom w:val="outset" w:sz="8" w:space="0" w:color="000000"/>
              <w:right w:val="outset" w:sz="8" w:space="0" w:color="000000"/>
            </w:tcBorders>
            <w:vAlign w:val="center"/>
          </w:tcPr>
          <w:p w:rsidR="00885997" w:rsidRDefault="00885997" w:rsidP="00A946CB">
            <w:pPr>
              <w:spacing w:after="75"/>
              <w:rPr>
                <w:rFonts w:ascii="Times New Roman" w:hAnsi="Times New Roman"/>
                <w:color w:val="000000"/>
                <w:sz w:val="15"/>
              </w:rPr>
            </w:pPr>
            <w:bookmarkStart w:id="17" w:name="138"/>
            <w:bookmarkEnd w:id="16"/>
          </w:p>
          <w:p w:rsidR="00885997" w:rsidRDefault="00885997" w:rsidP="00A946CB">
            <w:pPr>
              <w:spacing w:after="75"/>
              <w:rPr>
                <w:rFonts w:ascii="Times New Roman" w:hAnsi="Times New Roman"/>
                <w:color w:val="000000"/>
                <w:sz w:val="15"/>
              </w:rPr>
            </w:pPr>
          </w:p>
          <w:p w:rsidR="00E86BA1" w:rsidRDefault="00E86BA1" w:rsidP="00A946CB">
            <w:pPr>
              <w:spacing w:after="75"/>
            </w:pPr>
            <w:r>
              <w:rPr>
                <w:rFonts w:ascii="Times New Roman" w:hAnsi="Times New Roman"/>
                <w:color w:val="000000"/>
                <w:sz w:val="15"/>
              </w:rPr>
              <w:t>____________________________</w:t>
            </w:r>
            <w:r>
              <w:br/>
            </w:r>
            <w:r>
              <w:rPr>
                <w:rFonts w:ascii="Times New Roman" w:hAnsi="Times New Roman"/>
                <w:color w:val="000000"/>
                <w:sz w:val="15"/>
              </w:rPr>
              <w:t xml:space="preserve">                      (підпис вкладника)</w:t>
            </w:r>
          </w:p>
          <w:p w:rsidR="00E86BA1" w:rsidRDefault="00E86BA1" w:rsidP="00A946CB">
            <w:pPr>
              <w:spacing w:after="75"/>
            </w:pPr>
            <w:bookmarkStart w:id="18" w:name="139"/>
            <w:bookmarkEnd w:id="17"/>
            <w:r>
              <w:rPr>
                <w:rFonts w:ascii="Times New Roman" w:hAnsi="Times New Roman"/>
                <w:color w:val="000000"/>
                <w:sz w:val="15"/>
              </w:rPr>
              <w:t xml:space="preserve"> </w:t>
            </w:r>
          </w:p>
        </w:tc>
        <w:bookmarkEnd w:id="18"/>
      </w:tr>
      <w:tr w:rsidR="00E86BA1" w:rsidRPr="00885997" w:rsidTr="000F4097">
        <w:trPr>
          <w:trHeight w:val="46"/>
          <w:tblCellSpacing w:w="0" w:type="auto"/>
        </w:trPr>
        <w:tc>
          <w:tcPr>
            <w:tcW w:w="2514" w:type="dxa"/>
            <w:gridSpan w:val="2"/>
            <w:tcBorders>
              <w:top w:val="outset" w:sz="8" w:space="0" w:color="000000"/>
              <w:left w:val="outset" w:sz="8" w:space="0" w:color="000000"/>
              <w:bottom w:val="outset" w:sz="8" w:space="0" w:color="000000"/>
              <w:right w:val="outset" w:sz="8" w:space="0" w:color="000000"/>
            </w:tcBorders>
            <w:vAlign w:val="center"/>
          </w:tcPr>
          <w:p w:rsidR="00E86BA1" w:rsidRPr="00885997" w:rsidRDefault="00E86BA1" w:rsidP="00A946CB">
            <w:pPr>
              <w:spacing w:after="75"/>
            </w:pPr>
            <w:bookmarkStart w:id="19" w:name="140"/>
            <w:r w:rsidRPr="00885997">
              <w:rPr>
                <w:rFonts w:ascii="Times New Roman" w:hAnsi="Times New Roman"/>
                <w:color w:val="000000"/>
              </w:rPr>
              <w:t>Додаткова інформація</w:t>
            </w:r>
          </w:p>
        </w:tc>
        <w:tc>
          <w:tcPr>
            <w:tcW w:w="7959" w:type="dxa"/>
            <w:tcBorders>
              <w:top w:val="outset" w:sz="8" w:space="0" w:color="000000"/>
              <w:left w:val="outset" w:sz="8" w:space="0" w:color="000000"/>
              <w:bottom w:val="outset" w:sz="8" w:space="0" w:color="000000"/>
              <w:right w:val="outset" w:sz="8" w:space="0" w:color="000000"/>
            </w:tcBorders>
            <w:vAlign w:val="center"/>
          </w:tcPr>
          <w:p w:rsidR="00E86BA1" w:rsidRPr="00885997" w:rsidRDefault="00E86BA1" w:rsidP="00A946CB">
            <w:pPr>
              <w:spacing w:after="75"/>
            </w:pPr>
            <w:bookmarkStart w:id="20" w:name="141"/>
            <w:bookmarkEnd w:id="19"/>
            <w:r w:rsidRPr="00885997">
              <w:rPr>
                <w:rFonts w:ascii="Times New Roman" w:hAnsi="Times New Roman"/>
                <w:color w:val="000000"/>
              </w:rPr>
              <w:t xml:space="preserve">Терміни "вклад" та "вкладник" вживаються у значенні, наведеному в </w:t>
            </w:r>
            <w:r w:rsidRPr="00885997">
              <w:rPr>
                <w:rFonts w:ascii="Times New Roman" w:hAnsi="Times New Roman"/>
                <w:color w:val="293A55"/>
              </w:rPr>
              <w:t>Законі України "Про систему гарантування вкладів фізичних осіб"</w:t>
            </w:r>
            <w:r w:rsidRPr="00885997">
              <w:rPr>
                <w:rFonts w:ascii="Times New Roman" w:hAnsi="Times New Roman"/>
                <w:color w:val="000000"/>
              </w:rPr>
              <w:t>.</w:t>
            </w:r>
            <w:r w:rsidRPr="00885997">
              <w:br/>
            </w:r>
            <w:r w:rsidRPr="00885997">
              <w:rPr>
                <w:rFonts w:ascii="Times New Roman" w:hAnsi="Times New Roman"/>
                <w:color w:val="000000"/>
              </w:rPr>
              <w:t>Банк повідомляє вкладнику на його запит про поширення гарантій Фонду на відшкодування коштів за його вкладом відповідно до Закону України "Про систему гарантування вкладів фізичних осіб".</w:t>
            </w:r>
            <w:r w:rsidRPr="00885997">
              <w:br/>
            </w:r>
            <w:r w:rsidRPr="00885997">
              <w:rPr>
                <w:rFonts w:ascii="Times New Roman" w:hAnsi="Times New Roman"/>
                <w:color w:val="000000"/>
              </w:rPr>
              <w:t>Додатково інформація про систему гарантування вкладів зазначається у виписці з рахунка.</w:t>
            </w:r>
            <w:r w:rsidRPr="00885997">
              <w:br/>
            </w:r>
            <w:r w:rsidRPr="00885997">
              <w:rPr>
                <w:rFonts w:ascii="Times New Roman" w:hAnsi="Times New Roman"/>
                <w:color w:val="000000"/>
              </w:rPr>
              <w:t>Фонд припиняє виплату гарантованих сум відшкодування коштів за вкладами у день затвердження ліквідаційного балансу банку та не пізніше наступного робочого дня розміщує на офіційному вебсайті Фонду оголошення про припинення Фондом виплат гарантованої суми відшкодування.</w:t>
            </w:r>
            <w:r w:rsidRPr="00885997">
              <w:br/>
            </w:r>
            <w:r w:rsidRPr="00885997">
              <w:rPr>
                <w:rFonts w:ascii="Times New Roman" w:hAnsi="Times New Roman"/>
                <w:color w:val="000000"/>
              </w:rPr>
              <w:t xml:space="preserve">Нарахування відсотків за вкладами припиняється у день початку процедури виведення Фондом банку з ринку або у день прийняття рішення про відкликання банківської ліцензії та ліквідацію банку - у разі прийняття Національним банком України рішення про відкликання банківської ліцензії та ліквідацію банку з підстав, визначених частиною другою </w:t>
            </w:r>
            <w:r w:rsidRPr="00885997">
              <w:rPr>
                <w:rFonts w:ascii="Times New Roman" w:hAnsi="Times New Roman"/>
                <w:color w:val="293A55"/>
              </w:rPr>
              <w:t>статті 77 Закону України "Про банки і банківську діяльність"</w:t>
            </w:r>
            <w:r w:rsidRPr="00885997">
              <w:rPr>
                <w:rFonts w:ascii="Times New Roman" w:hAnsi="Times New Roman"/>
                <w:color w:val="000000"/>
              </w:rPr>
              <w:t>.</w:t>
            </w:r>
          </w:p>
        </w:tc>
        <w:bookmarkEnd w:id="20"/>
      </w:tr>
    </w:tbl>
    <w:p w:rsidR="00F55488" w:rsidRDefault="00C21D65"/>
    <w:sectPr w:rsidR="00F55488" w:rsidSect="000F4097">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E86BA1"/>
    <w:rsid w:val="000F4097"/>
    <w:rsid w:val="00512FCB"/>
    <w:rsid w:val="00680927"/>
    <w:rsid w:val="00885997"/>
    <w:rsid w:val="00B11361"/>
    <w:rsid w:val="00C21D65"/>
    <w:rsid w:val="00C96087"/>
    <w:rsid w:val="00E86BA1"/>
    <w:rsid w:val="00FD056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BA1"/>
    <w:rPr>
      <w:lang w:eastAsia="uk-UA"/>
    </w:rPr>
  </w:style>
  <w:style w:type="paragraph" w:styleId="3">
    <w:name w:val="heading 3"/>
    <w:basedOn w:val="a"/>
    <w:next w:val="a"/>
    <w:link w:val="30"/>
    <w:uiPriority w:val="9"/>
    <w:unhideWhenUsed/>
    <w:qFormat/>
    <w:rsid w:val="00E86BA1"/>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86BA1"/>
    <w:rPr>
      <w:rFonts w:asciiTheme="majorHAnsi" w:eastAsiaTheme="majorEastAsia" w:hAnsiTheme="majorHAnsi" w:cstheme="majorBidi"/>
      <w:b/>
      <w:bCs/>
      <w:color w:val="4F81BD" w:themeColor="accent1"/>
      <w:lang w:eastAsia="uk-UA"/>
    </w:rPr>
  </w:style>
  <w:style w:type="table" w:styleId="a3">
    <w:name w:val="Table Grid"/>
    <w:basedOn w:val="a1"/>
    <w:uiPriority w:val="59"/>
    <w:rsid w:val="008859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5259</Words>
  <Characters>2999</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OKotsan</dc:creator>
  <cp:lastModifiedBy>OAntonenko</cp:lastModifiedBy>
  <cp:revision>2</cp:revision>
  <dcterms:created xsi:type="dcterms:W3CDTF">2025-09-04T08:11:00Z</dcterms:created>
  <dcterms:modified xsi:type="dcterms:W3CDTF">2025-09-04T08:11:00Z</dcterms:modified>
</cp:coreProperties>
</file>