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14" w:rsidRPr="00085529" w:rsidRDefault="00101C6A" w:rsidP="00921614">
      <w:pPr>
        <w:jc w:val="center"/>
        <w:outlineLvl w:val="2"/>
        <w:rPr>
          <w:rFonts w:ascii="Times New Roman" w:hAnsi="Times New Roman"/>
          <w:b/>
          <w:lang w:val="ru-RU"/>
        </w:rPr>
      </w:pPr>
      <w:r>
        <w:rPr>
          <w:rFonts w:ascii="Times New Roman" w:hAnsi="Times New Roman"/>
          <w:b/>
          <w:noProof/>
          <w:lang w:val="uk-UA" w:eastAsia="uk-UA" w:bidi="ar-SA"/>
        </w:rPr>
        <w:drawing>
          <wp:anchor distT="0" distB="0" distL="114300" distR="114300" simplePos="0" relativeHeight="251658240" behindDoc="0" locked="0" layoutInCell="1" allowOverlap="1">
            <wp:simplePos x="0" y="0"/>
            <wp:positionH relativeFrom="column">
              <wp:posOffset>-98425</wp:posOffset>
            </wp:positionH>
            <wp:positionV relativeFrom="paragraph">
              <wp:posOffset>-76835</wp:posOffset>
            </wp:positionV>
            <wp:extent cx="1125220" cy="51435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5220" cy="514350"/>
                    </a:xfrm>
                    <a:prstGeom prst="rect">
                      <a:avLst/>
                    </a:prstGeom>
                    <a:noFill/>
                    <a:ln>
                      <a:noFill/>
                    </a:ln>
                  </pic:spPr>
                </pic:pic>
              </a:graphicData>
            </a:graphic>
          </wp:anchor>
        </w:drawing>
      </w:r>
      <w:hyperlink r:id="rId7" w:tgtFrame="_blank" w:history="1">
        <w:r w:rsidR="00921614" w:rsidRPr="00101C6A">
          <w:rPr>
            <w:rFonts w:ascii="Times New Roman" w:hAnsi="Times New Roman"/>
            <w:b/>
            <w:bCs/>
            <w:lang w:val="uk-UA" w:eastAsia="uk-UA"/>
          </w:rPr>
          <w:t>ДОВІДКА</w:t>
        </w:r>
        <w:r w:rsidR="00921614" w:rsidRPr="00101C6A">
          <w:rPr>
            <w:rFonts w:ascii="Times New Roman" w:hAnsi="Times New Roman"/>
            <w:b/>
            <w:bCs/>
            <w:lang w:val="uk-UA" w:eastAsia="uk-UA"/>
          </w:rPr>
          <w:br/>
          <w:t>про систему гарантування вкладів фізичних осіб</w:t>
        </w:r>
      </w:hyperlink>
      <w:bookmarkStart w:id="0" w:name="_GoBack"/>
      <w:bookmarkEnd w:id="0"/>
    </w:p>
    <w:p w:rsidR="00101C6A" w:rsidRPr="00085529" w:rsidRDefault="00101C6A" w:rsidP="00921614">
      <w:pPr>
        <w:jc w:val="center"/>
        <w:outlineLvl w:val="2"/>
        <w:rPr>
          <w:rFonts w:ascii="Times New Roman" w:hAnsi="Times New Roman"/>
          <w:b/>
          <w:bCs/>
          <w:lang w:val="ru-RU" w:eastAsia="uk-UA"/>
        </w:rPr>
      </w:pPr>
    </w:p>
    <w:tbl>
      <w:tblPr>
        <w:tblW w:w="5111"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30"/>
        <w:gridCol w:w="8183"/>
      </w:tblGrid>
      <w:tr w:rsidR="00921614" w:rsidRPr="00977C0B" w:rsidTr="004C4129">
        <w:trPr>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921614" w:rsidRPr="00101C6A" w:rsidRDefault="00921614" w:rsidP="00FE67FF">
            <w:pPr>
              <w:rPr>
                <w:rFonts w:ascii="Times New Roman" w:hAnsi="Times New Roman"/>
                <w:sz w:val="14"/>
                <w:szCs w:val="14"/>
                <w:lang w:val="uk-UA" w:eastAsia="uk-UA"/>
              </w:rPr>
            </w:pPr>
            <w:r w:rsidRPr="00101C6A">
              <w:rPr>
                <w:rFonts w:ascii="Times New Roman" w:hAnsi="Times New Roman"/>
                <w:sz w:val="14"/>
                <w:szCs w:val="14"/>
                <w:lang w:val="uk-UA" w:eastAsia="uk-UA"/>
              </w:rPr>
              <w:t xml:space="preserve">Вклади у </w:t>
            </w:r>
          </w:p>
          <w:p w:rsidR="00921614" w:rsidRPr="00101C6A" w:rsidRDefault="00921614" w:rsidP="00FE67FF">
            <w:pPr>
              <w:rPr>
                <w:rFonts w:ascii="Times New Roman" w:hAnsi="Times New Roman"/>
                <w:sz w:val="14"/>
                <w:szCs w:val="14"/>
                <w:lang w:val="uk-UA" w:eastAsia="uk-UA"/>
              </w:rPr>
            </w:pPr>
            <w:r w:rsidRPr="00101C6A">
              <w:rPr>
                <w:rFonts w:ascii="Times New Roman" w:hAnsi="Times New Roman"/>
                <w:sz w:val="14"/>
                <w:szCs w:val="14"/>
                <w:lang w:val="uk-UA" w:eastAsia="uk-UA"/>
              </w:rPr>
              <w:t>АТ «БТА БАНК»</w:t>
            </w:r>
            <w:r w:rsidRPr="00101C6A">
              <w:rPr>
                <w:rFonts w:ascii="Times New Roman" w:hAnsi="Times New Roman"/>
                <w:sz w:val="14"/>
                <w:szCs w:val="14"/>
                <w:lang w:val="uk-UA" w:eastAsia="uk-UA"/>
              </w:rPr>
              <w:br/>
              <w:t>гарантовано</w:t>
            </w:r>
          </w:p>
        </w:tc>
        <w:tc>
          <w:tcPr>
            <w:tcW w:w="4178" w:type="pct"/>
            <w:tcBorders>
              <w:top w:val="outset" w:sz="6" w:space="0" w:color="auto"/>
              <w:left w:val="outset" w:sz="6" w:space="0" w:color="auto"/>
              <w:bottom w:val="outset" w:sz="6" w:space="0" w:color="auto"/>
              <w:right w:val="outset" w:sz="6" w:space="0" w:color="auto"/>
            </w:tcBorders>
            <w:vAlign w:val="center"/>
            <w:hideMark/>
          </w:tcPr>
          <w:p w:rsidR="00921614" w:rsidRPr="00101C6A" w:rsidRDefault="00921614" w:rsidP="00FE67FF">
            <w:pPr>
              <w:spacing w:before="20" w:after="20"/>
              <w:jc w:val="both"/>
              <w:rPr>
                <w:rFonts w:ascii="Times New Roman" w:hAnsi="Times New Roman"/>
                <w:sz w:val="14"/>
                <w:szCs w:val="14"/>
                <w:lang w:val="uk-UA" w:eastAsia="uk-UA"/>
              </w:rPr>
            </w:pPr>
            <w:r w:rsidRPr="00101C6A">
              <w:rPr>
                <w:rFonts w:ascii="Times New Roman" w:hAnsi="Times New Roman"/>
                <w:sz w:val="14"/>
                <w:szCs w:val="14"/>
                <w:lang w:val="uk-UA" w:eastAsia="uk-UA"/>
              </w:rPr>
              <w:t>Фондом гарантування вкладів фізичних осіб (далі - Фонд).</w:t>
            </w:r>
          </w:p>
        </w:tc>
      </w:tr>
      <w:tr w:rsidR="00921614" w:rsidRPr="00977C0B" w:rsidTr="004C4129">
        <w:trPr>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921614" w:rsidRPr="00101C6A" w:rsidRDefault="00921614" w:rsidP="00FE67FF">
            <w:pPr>
              <w:rPr>
                <w:rFonts w:ascii="Times New Roman" w:hAnsi="Times New Roman"/>
                <w:sz w:val="14"/>
                <w:szCs w:val="14"/>
                <w:lang w:val="uk-UA" w:eastAsia="uk-UA"/>
              </w:rPr>
            </w:pPr>
            <w:r w:rsidRPr="00101C6A">
              <w:rPr>
                <w:rFonts w:ascii="Times New Roman" w:hAnsi="Times New Roman"/>
                <w:sz w:val="14"/>
                <w:szCs w:val="14"/>
                <w:lang w:val="uk-UA" w:eastAsia="uk-UA"/>
              </w:rPr>
              <w:t>Обмеження гарантії</w:t>
            </w:r>
          </w:p>
        </w:tc>
        <w:tc>
          <w:tcPr>
            <w:tcW w:w="4178" w:type="pct"/>
            <w:tcBorders>
              <w:top w:val="outset" w:sz="6" w:space="0" w:color="auto"/>
              <w:left w:val="outset" w:sz="6" w:space="0" w:color="auto"/>
              <w:bottom w:val="outset" w:sz="6" w:space="0" w:color="auto"/>
              <w:right w:val="outset" w:sz="6" w:space="0" w:color="auto"/>
            </w:tcBorders>
            <w:vAlign w:val="center"/>
            <w:hideMark/>
          </w:tcPr>
          <w:p w:rsidR="00921614" w:rsidRPr="00101C6A" w:rsidRDefault="00921614" w:rsidP="00FE67FF">
            <w:pPr>
              <w:spacing w:before="20"/>
              <w:jc w:val="both"/>
              <w:rPr>
                <w:rFonts w:ascii="Times New Roman" w:hAnsi="Times New Roman"/>
                <w:sz w:val="14"/>
                <w:szCs w:val="14"/>
                <w:lang w:val="uk-UA" w:eastAsia="uk-UA"/>
              </w:rPr>
            </w:pPr>
            <w:r w:rsidRPr="00101C6A">
              <w:rPr>
                <w:rFonts w:ascii="Times New Roman" w:hAnsi="Times New Roman"/>
                <w:sz w:val="14"/>
                <w:szCs w:val="14"/>
                <w:lang w:val="uk-UA" w:eastAsia="uk-UA"/>
              </w:rPr>
              <w:t>Кожному вкладнику відшкодовуються кошти в розмірі вкладу, включаючи відсотки, станом на день початку процедури виведення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rsidR="00921614" w:rsidRPr="00101C6A" w:rsidRDefault="00921614" w:rsidP="00FE67FF">
            <w:pPr>
              <w:jc w:val="both"/>
              <w:rPr>
                <w:rFonts w:ascii="Times New Roman" w:hAnsi="Times New Roman"/>
                <w:sz w:val="14"/>
                <w:szCs w:val="14"/>
                <w:lang w:val="uk-UA" w:eastAsia="uk-UA"/>
              </w:rPr>
            </w:pPr>
            <w:r w:rsidRPr="00101C6A">
              <w:rPr>
                <w:rFonts w:ascii="Times New Roman" w:hAnsi="Times New Roman"/>
                <w:sz w:val="14"/>
                <w:szCs w:val="14"/>
                <w:lang w:val="uk-UA" w:eastAsia="uk-UA"/>
              </w:rP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8" w:tgtFrame="_blank" w:history="1">
              <w:r w:rsidRPr="00101C6A">
                <w:rPr>
                  <w:rFonts w:ascii="Times New Roman" w:hAnsi="Times New Roman"/>
                  <w:sz w:val="14"/>
                  <w:szCs w:val="14"/>
                  <w:lang w:val="uk-UA" w:eastAsia="uk-UA"/>
                </w:rPr>
                <w:t>статті 77 Закону України «Про банки і банківську діяльність»</w:t>
              </w:r>
            </w:hyperlink>
            <w:r w:rsidRPr="00101C6A">
              <w:rPr>
                <w:rFonts w:ascii="Times New Roman" w:hAnsi="Times New Roman"/>
                <w:sz w:val="14"/>
                <w:szCs w:val="14"/>
                <w:lang w:val="uk-UA" w:eastAsia="uk-UA"/>
              </w:rPr>
              <w:t>, кожному вкладнику гарантується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rsidR="00921614" w:rsidRPr="00101C6A" w:rsidRDefault="00921614" w:rsidP="00FE67FF">
            <w:pPr>
              <w:jc w:val="both"/>
              <w:rPr>
                <w:rFonts w:ascii="Times New Roman" w:hAnsi="Times New Roman"/>
                <w:sz w:val="14"/>
                <w:szCs w:val="14"/>
                <w:lang w:val="uk-UA" w:eastAsia="uk-UA"/>
              </w:rPr>
            </w:pPr>
            <w:r w:rsidRPr="00101C6A">
              <w:rPr>
                <w:rFonts w:ascii="Times New Roman" w:hAnsi="Times New Roman"/>
                <w:sz w:val="14"/>
                <w:szCs w:val="14"/>
                <w:lang w:val="uk-UA" w:eastAsia="uk-UA"/>
              </w:rPr>
              <w:t xml:space="preserve">Гранична сума розміру відшкодування коштів за вкладами встановлюється відповідно до </w:t>
            </w:r>
            <w:hyperlink r:id="rId9" w:tgtFrame="_blank" w:history="1">
              <w:r w:rsidRPr="00101C6A">
                <w:rPr>
                  <w:rFonts w:ascii="Times New Roman" w:hAnsi="Times New Roman"/>
                  <w:sz w:val="14"/>
                  <w:szCs w:val="14"/>
                  <w:lang w:val="uk-UA" w:eastAsia="uk-UA"/>
                </w:rPr>
                <w:t>статті 26 Закону України «Про систему гарантування вкладів фізичних осіб</w:t>
              </w:r>
            </w:hyperlink>
            <w:r w:rsidRPr="00101C6A">
              <w:rPr>
                <w:rFonts w:ascii="Times New Roman" w:hAnsi="Times New Roman"/>
                <w:sz w:val="14"/>
                <w:szCs w:val="14"/>
                <w:lang w:val="uk-UA"/>
              </w:rPr>
              <w:t>»</w:t>
            </w:r>
            <w:r w:rsidRPr="00101C6A">
              <w:rPr>
                <w:rFonts w:ascii="Times New Roman" w:hAnsi="Times New Roman"/>
                <w:sz w:val="14"/>
                <w:szCs w:val="14"/>
                <w:lang w:val="uk-UA" w:eastAsia="uk-UA"/>
              </w:rPr>
              <w:t xml:space="preserve"> та становить 200 000,00 (Двісті тисяч) гривень.</w:t>
            </w:r>
          </w:p>
          <w:p w:rsidR="00921614" w:rsidRPr="00101C6A" w:rsidRDefault="00921614" w:rsidP="00FE67FF">
            <w:pPr>
              <w:jc w:val="both"/>
              <w:rPr>
                <w:rFonts w:ascii="Times New Roman" w:hAnsi="Times New Roman"/>
                <w:sz w:val="14"/>
                <w:szCs w:val="14"/>
                <w:lang w:val="uk-UA" w:eastAsia="uk-UA"/>
              </w:rPr>
            </w:pPr>
            <w:r w:rsidRPr="00101C6A">
              <w:rPr>
                <w:rFonts w:ascii="Times New Roman" w:hAnsi="Times New Roman"/>
                <w:sz w:val="14"/>
                <w:szCs w:val="14"/>
                <w:lang w:val="uk-UA" w:eastAsia="uk-UA"/>
              </w:rPr>
              <w:t xml:space="preserve">Відповідно до </w:t>
            </w:r>
            <w:hyperlink r:id="rId10" w:tgtFrame="_blank" w:history="1">
              <w:r w:rsidRPr="00101C6A">
                <w:rPr>
                  <w:rFonts w:ascii="Times New Roman" w:hAnsi="Times New Roman"/>
                  <w:sz w:val="14"/>
                  <w:szCs w:val="14"/>
                  <w:lang w:val="uk-UA" w:eastAsia="uk-UA"/>
                </w:rPr>
                <w:t>частини четвертої статті 26 Закону України «Про систему гарантування вкладів фізичних осіб</w:t>
              </w:r>
            </w:hyperlink>
            <w:r w:rsidRPr="00101C6A">
              <w:rPr>
                <w:rFonts w:ascii="Times New Roman" w:hAnsi="Times New Roman"/>
                <w:sz w:val="14"/>
                <w:szCs w:val="14"/>
                <w:lang w:val="uk-UA"/>
              </w:rPr>
              <w:t>»</w:t>
            </w:r>
            <w:r w:rsidRPr="00101C6A">
              <w:rPr>
                <w:rFonts w:ascii="Times New Roman" w:hAnsi="Times New Roman"/>
                <w:sz w:val="14"/>
                <w:szCs w:val="14"/>
                <w:lang w:val="uk-UA" w:eastAsia="uk-UA"/>
              </w:rPr>
              <w:t xml:space="preserve"> не відшкодовуються кошти:</w:t>
            </w:r>
          </w:p>
          <w:p w:rsidR="00921614" w:rsidRPr="00101C6A" w:rsidRDefault="00921614" w:rsidP="00921614">
            <w:pPr>
              <w:numPr>
                <w:ilvl w:val="0"/>
                <w:numId w:val="1"/>
              </w:numPr>
              <w:tabs>
                <w:tab w:val="left" w:pos="359"/>
              </w:tabs>
              <w:ind w:left="0" w:firstLine="0"/>
              <w:jc w:val="both"/>
              <w:rPr>
                <w:rFonts w:ascii="Times New Roman" w:hAnsi="Times New Roman"/>
                <w:sz w:val="14"/>
                <w:szCs w:val="14"/>
                <w:lang w:val="uk-UA" w:eastAsia="uk-UA"/>
              </w:rPr>
            </w:pPr>
            <w:r w:rsidRPr="00101C6A">
              <w:rPr>
                <w:rFonts w:ascii="Times New Roman" w:hAnsi="Times New Roman"/>
                <w:sz w:val="14"/>
                <w:szCs w:val="14"/>
                <w:lang w:val="uk-UA" w:eastAsia="uk-UA"/>
              </w:rPr>
              <w:t>передані банку в довірче управління;</w:t>
            </w:r>
          </w:p>
          <w:p w:rsidR="00921614" w:rsidRPr="00101C6A" w:rsidRDefault="00921614" w:rsidP="00921614">
            <w:pPr>
              <w:numPr>
                <w:ilvl w:val="0"/>
                <w:numId w:val="1"/>
              </w:numPr>
              <w:tabs>
                <w:tab w:val="left" w:pos="359"/>
              </w:tabs>
              <w:ind w:left="0" w:firstLine="0"/>
              <w:jc w:val="both"/>
              <w:rPr>
                <w:rFonts w:ascii="Times New Roman" w:hAnsi="Times New Roman"/>
                <w:sz w:val="14"/>
                <w:szCs w:val="14"/>
                <w:lang w:val="uk-UA" w:eastAsia="uk-UA"/>
              </w:rPr>
            </w:pPr>
            <w:r w:rsidRPr="00101C6A">
              <w:rPr>
                <w:rFonts w:ascii="Times New Roman" w:hAnsi="Times New Roman"/>
                <w:sz w:val="14"/>
                <w:szCs w:val="14"/>
                <w:lang w:val="uk-UA" w:eastAsia="uk-UA"/>
              </w:rPr>
              <w:t>за вкладом у розмірі менше 10 гривень;</w:t>
            </w:r>
          </w:p>
          <w:p w:rsidR="00921614" w:rsidRPr="00101C6A" w:rsidRDefault="00921614" w:rsidP="00921614">
            <w:pPr>
              <w:numPr>
                <w:ilvl w:val="0"/>
                <w:numId w:val="1"/>
              </w:numPr>
              <w:tabs>
                <w:tab w:val="left" w:pos="359"/>
              </w:tabs>
              <w:ind w:left="0" w:firstLine="0"/>
              <w:jc w:val="both"/>
              <w:rPr>
                <w:rFonts w:ascii="Times New Roman" w:hAnsi="Times New Roman"/>
                <w:sz w:val="14"/>
                <w:szCs w:val="14"/>
                <w:lang w:val="uk-UA" w:eastAsia="uk-UA"/>
              </w:rPr>
            </w:pPr>
            <w:r w:rsidRPr="00101C6A">
              <w:rPr>
                <w:rFonts w:ascii="Times New Roman" w:hAnsi="Times New Roman"/>
                <w:sz w:val="14"/>
                <w:szCs w:val="14"/>
                <w:lang w:val="uk-UA" w:eastAsia="uk-UA"/>
              </w:rPr>
              <w:t>за вкладом, підтвердженим ощадним (депозитним) сертифікатом на пред’явника;</w:t>
            </w:r>
          </w:p>
          <w:p w:rsidR="00921614" w:rsidRPr="00101C6A" w:rsidRDefault="00921614" w:rsidP="00921614">
            <w:pPr>
              <w:numPr>
                <w:ilvl w:val="0"/>
                <w:numId w:val="1"/>
              </w:numPr>
              <w:tabs>
                <w:tab w:val="left" w:pos="359"/>
              </w:tabs>
              <w:ind w:left="0" w:firstLine="0"/>
              <w:jc w:val="both"/>
              <w:rPr>
                <w:rFonts w:ascii="Times New Roman" w:hAnsi="Times New Roman"/>
                <w:sz w:val="14"/>
                <w:szCs w:val="14"/>
                <w:lang w:val="uk-UA" w:eastAsia="uk-UA"/>
              </w:rPr>
            </w:pPr>
            <w:r w:rsidRPr="00101C6A">
              <w:rPr>
                <w:rFonts w:ascii="Times New Roman" w:hAnsi="Times New Roman"/>
                <w:sz w:val="14"/>
                <w:szCs w:val="14"/>
                <w:lang w:val="uk-UA" w:eastAsia="uk-UA"/>
              </w:rPr>
              <w:t xml:space="preserve">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11" w:tgtFrame="_blank" w:history="1">
              <w:r w:rsidRPr="00101C6A">
                <w:rPr>
                  <w:rFonts w:ascii="Times New Roman" w:hAnsi="Times New Roman"/>
                  <w:sz w:val="14"/>
                  <w:szCs w:val="14"/>
                  <w:lang w:val="uk-UA" w:eastAsia="uk-UA"/>
                </w:rPr>
                <w:t>статті 77 Закону України «Про банки і банківську діяльність</w:t>
              </w:r>
            </w:hyperlink>
            <w:r w:rsidRPr="00101C6A">
              <w:rPr>
                <w:rFonts w:ascii="Times New Roman" w:hAnsi="Times New Roman"/>
                <w:sz w:val="14"/>
                <w:szCs w:val="14"/>
                <w:lang w:val="uk-UA"/>
              </w:rPr>
              <w:t>»</w:t>
            </w:r>
            <w:r w:rsidRPr="00101C6A">
              <w:rPr>
                <w:rFonts w:ascii="Times New Roman" w:hAnsi="Times New Roman"/>
                <w:sz w:val="14"/>
                <w:szCs w:val="14"/>
                <w:lang w:val="uk-UA" w:eastAsia="uk-UA"/>
              </w:rPr>
              <w:t>, - протягом року до дня прийняття такого рішення);</w:t>
            </w:r>
          </w:p>
          <w:p w:rsidR="00921614" w:rsidRPr="00101C6A" w:rsidRDefault="00921614" w:rsidP="00921614">
            <w:pPr>
              <w:numPr>
                <w:ilvl w:val="0"/>
                <w:numId w:val="1"/>
              </w:numPr>
              <w:tabs>
                <w:tab w:val="left" w:pos="359"/>
              </w:tabs>
              <w:ind w:left="0" w:firstLine="0"/>
              <w:jc w:val="both"/>
              <w:rPr>
                <w:rFonts w:ascii="Times New Roman" w:hAnsi="Times New Roman"/>
                <w:sz w:val="14"/>
                <w:szCs w:val="14"/>
                <w:lang w:val="uk-UA" w:eastAsia="uk-UA"/>
              </w:rPr>
            </w:pPr>
            <w:r w:rsidRPr="00101C6A">
              <w:rPr>
                <w:rFonts w:ascii="Times New Roman" w:hAnsi="Times New Roman"/>
                <w:sz w:val="14"/>
                <w:szCs w:val="14"/>
                <w:lang w:val="uk-UA" w:eastAsia="uk-UA"/>
              </w:rPr>
              <w:t xml:space="preserve">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12" w:tgtFrame="_blank" w:history="1">
              <w:r w:rsidRPr="00101C6A">
                <w:rPr>
                  <w:rFonts w:ascii="Times New Roman" w:hAnsi="Times New Roman"/>
                  <w:sz w:val="14"/>
                  <w:szCs w:val="14"/>
                  <w:lang w:val="uk-UA" w:eastAsia="uk-UA"/>
                </w:rPr>
                <w:t>статті 77 Закону України «Про банки і банківську діяльність</w:t>
              </w:r>
            </w:hyperlink>
            <w:r w:rsidRPr="00101C6A">
              <w:rPr>
                <w:rFonts w:ascii="Times New Roman" w:hAnsi="Times New Roman"/>
                <w:sz w:val="14"/>
                <w:szCs w:val="14"/>
                <w:lang w:val="uk-UA"/>
              </w:rPr>
              <w:t>»</w:t>
            </w:r>
            <w:r w:rsidRPr="00101C6A">
              <w:rPr>
                <w:rFonts w:ascii="Times New Roman" w:hAnsi="Times New Roman"/>
                <w:sz w:val="14"/>
                <w:szCs w:val="14"/>
                <w:lang w:val="uk-UA" w:eastAsia="uk-UA"/>
              </w:rPr>
              <w:t>, - один рік до дня прийняття такого рішення);</w:t>
            </w:r>
          </w:p>
          <w:p w:rsidR="00921614" w:rsidRPr="00101C6A" w:rsidRDefault="00921614" w:rsidP="00921614">
            <w:pPr>
              <w:numPr>
                <w:ilvl w:val="0"/>
                <w:numId w:val="1"/>
              </w:numPr>
              <w:tabs>
                <w:tab w:val="left" w:pos="359"/>
              </w:tabs>
              <w:ind w:left="0" w:firstLine="0"/>
              <w:jc w:val="both"/>
              <w:rPr>
                <w:rFonts w:ascii="Times New Roman" w:hAnsi="Times New Roman"/>
                <w:sz w:val="14"/>
                <w:szCs w:val="14"/>
                <w:lang w:val="uk-UA" w:eastAsia="uk-UA"/>
              </w:rPr>
            </w:pPr>
            <w:r w:rsidRPr="00101C6A">
              <w:rPr>
                <w:rFonts w:ascii="Times New Roman" w:hAnsi="Times New Roman"/>
                <w:sz w:val="14"/>
                <w:szCs w:val="14"/>
                <w:lang w:val="uk-UA" w:eastAsia="uk-UA"/>
              </w:rPr>
              <w:t>розміщені на вклад власником істотної участі у банку;</w:t>
            </w:r>
          </w:p>
          <w:p w:rsidR="00921614" w:rsidRPr="00101C6A" w:rsidRDefault="00921614" w:rsidP="00921614">
            <w:pPr>
              <w:numPr>
                <w:ilvl w:val="0"/>
                <w:numId w:val="1"/>
              </w:numPr>
              <w:tabs>
                <w:tab w:val="left" w:pos="359"/>
              </w:tabs>
              <w:ind w:left="0" w:firstLine="0"/>
              <w:jc w:val="both"/>
              <w:rPr>
                <w:rFonts w:ascii="Times New Roman" w:hAnsi="Times New Roman"/>
                <w:sz w:val="14"/>
                <w:szCs w:val="14"/>
                <w:lang w:val="uk-UA" w:eastAsia="uk-UA"/>
              </w:rPr>
            </w:pPr>
            <w:r w:rsidRPr="00101C6A">
              <w:rPr>
                <w:rFonts w:ascii="Times New Roman" w:hAnsi="Times New Roman"/>
                <w:sz w:val="14"/>
                <w:szCs w:val="14"/>
                <w:lang w:val="uk-UA" w:eastAsia="uk-UA"/>
              </w:rPr>
              <w:t xml:space="preserve">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3" w:tgtFrame="_blank" w:history="1">
              <w:r w:rsidRPr="00101C6A">
                <w:rPr>
                  <w:rFonts w:ascii="Times New Roman" w:hAnsi="Times New Roman"/>
                  <w:sz w:val="14"/>
                  <w:szCs w:val="14"/>
                  <w:lang w:val="uk-UA" w:eastAsia="uk-UA"/>
                </w:rPr>
                <w:t>статті 52 Закону України «Про банки і банківську діяльність</w:t>
              </w:r>
            </w:hyperlink>
            <w:r w:rsidRPr="00101C6A">
              <w:rPr>
                <w:rFonts w:ascii="Times New Roman" w:hAnsi="Times New Roman"/>
                <w:sz w:val="14"/>
                <w:szCs w:val="14"/>
                <w:lang w:val="uk-UA"/>
              </w:rPr>
              <w:t>»</w:t>
            </w:r>
            <w:r w:rsidRPr="00101C6A">
              <w:rPr>
                <w:rFonts w:ascii="Times New Roman" w:hAnsi="Times New Roman"/>
                <w:sz w:val="14"/>
                <w:szCs w:val="14"/>
                <w:lang w:val="uk-UA" w:eastAsia="uk-UA"/>
              </w:rPr>
              <w:t>, або мають інші фінансові привілеї від банку;</w:t>
            </w:r>
          </w:p>
          <w:p w:rsidR="00921614" w:rsidRPr="00101C6A" w:rsidRDefault="00921614" w:rsidP="00921614">
            <w:pPr>
              <w:numPr>
                <w:ilvl w:val="0"/>
                <w:numId w:val="1"/>
              </w:numPr>
              <w:tabs>
                <w:tab w:val="left" w:pos="359"/>
              </w:tabs>
              <w:ind w:left="0" w:firstLine="0"/>
              <w:jc w:val="both"/>
              <w:rPr>
                <w:rFonts w:ascii="Times New Roman" w:hAnsi="Times New Roman"/>
                <w:sz w:val="14"/>
                <w:szCs w:val="14"/>
                <w:lang w:val="uk-UA" w:eastAsia="uk-UA"/>
              </w:rPr>
            </w:pPr>
            <w:r w:rsidRPr="00101C6A">
              <w:rPr>
                <w:rFonts w:ascii="Times New Roman" w:hAnsi="Times New Roman"/>
                <w:sz w:val="14"/>
                <w:szCs w:val="14"/>
                <w:lang w:val="uk-UA" w:eastAsia="uk-UA"/>
              </w:rP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rsidR="00921614" w:rsidRPr="00101C6A" w:rsidRDefault="00921614" w:rsidP="00921614">
            <w:pPr>
              <w:numPr>
                <w:ilvl w:val="0"/>
                <w:numId w:val="1"/>
              </w:numPr>
              <w:tabs>
                <w:tab w:val="left" w:pos="359"/>
              </w:tabs>
              <w:ind w:left="0" w:firstLine="0"/>
              <w:jc w:val="both"/>
              <w:rPr>
                <w:rFonts w:ascii="Times New Roman" w:hAnsi="Times New Roman"/>
                <w:sz w:val="14"/>
                <w:szCs w:val="14"/>
                <w:lang w:val="uk-UA" w:eastAsia="uk-UA"/>
              </w:rPr>
            </w:pPr>
            <w:r w:rsidRPr="00101C6A">
              <w:rPr>
                <w:rFonts w:ascii="Times New Roman" w:hAnsi="Times New Roman"/>
                <w:sz w:val="14"/>
                <w:szCs w:val="14"/>
                <w:lang w:val="uk-UA" w:eastAsia="uk-UA"/>
              </w:rPr>
              <w:t>за вкладами у філіях іноземних банків;</w:t>
            </w:r>
          </w:p>
          <w:p w:rsidR="00921614" w:rsidRPr="00101C6A" w:rsidRDefault="00921614" w:rsidP="00921614">
            <w:pPr>
              <w:numPr>
                <w:ilvl w:val="0"/>
                <w:numId w:val="1"/>
              </w:numPr>
              <w:tabs>
                <w:tab w:val="left" w:pos="359"/>
              </w:tabs>
              <w:ind w:left="0" w:firstLine="0"/>
              <w:jc w:val="both"/>
              <w:rPr>
                <w:rFonts w:ascii="Times New Roman" w:hAnsi="Times New Roman"/>
                <w:sz w:val="14"/>
                <w:szCs w:val="14"/>
                <w:lang w:val="uk-UA" w:eastAsia="uk-UA"/>
              </w:rPr>
            </w:pPr>
            <w:r w:rsidRPr="00101C6A">
              <w:rPr>
                <w:rFonts w:ascii="Times New Roman" w:hAnsi="Times New Roman"/>
                <w:sz w:val="14"/>
                <w:szCs w:val="14"/>
                <w:lang w:val="uk-UA" w:eastAsia="uk-UA"/>
              </w:rPr>
              <w:t>за вкладами у банківських металах;</w:t>
            </w:r>
          </w:p>
          <w:p w:rsidR="00921614" w:rsidRPr="00101C6A" w:rsidRDefault="00921614" w:rsidP="00921614">
            <w:pPr>
              <w:numPr>
                <w:ilvl w:val="0"/>
                <w:numId w:val="1"/>
              </w:numPr>
              <w:tabs>
                <w:tab w:val="left" w:pos="359"/>
              </w:tabs>
              <w:spacing w:after="20"/>
              <w:ind w:left="0" w:firstLine="0"/>
              <w:jc w:val="both"/>
              <w:rPr>
                <w:rFonts w:ascii="Times New Roman" w:hAnsi="Times New Roman"/>
                <w:sz w:val="14"/>
                <w:szCs w:val="14"/>
                <w:lang w:val="uk-UA" w:eastAsia="uk-UA"/>
              </w:rPr>
            </w:pPr>
            <w:r w:rsidRPr="00101C6A">
              <w:rPr>
                <w:rFonts w:ascii="Times New Roman" w:hAnsi="Times New Roman"/>
                <w:sz w:val="14"/>
                <w:szCs w:val="14"/>
                <w:lang w:val="uk-UA" w:eastAsia="uk-UA"/>
              </w:rPr>
              <w:t>розміщені на рахунках, що перебувають під арештом за рішенням суду.</w:t>
            </w:r>
          </w:p>
        </w:tc>
      </w:tr>
      <w:tr w:rsidR="00921614" w:rsidRPr="00977C0B" w:rsidTr="004C4129">
        <w:trPr>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921614" w:rsidRPr="00101C6A" w:rsidRDefault="00AD1FEB" w:rsidP="00FE67FF">
            <w:pPr>
              <w:rPr>
                <w:rFonts w:ascii="Times New Roman" w:hAnsi="Times New Roman"/>
                <w:sz w:val="14"/>
                <w:szCs w:val="14"/>
                <w:lang w:val="uk-UA" w:eastAsia="uk-UA"/>
              </w:rPr>
            </w:pPr>
            <w:hyperlink r:id="rId14" w:tgtFrame="_blank" w:history="1">
              <w:r w:rsidR="00921614" w:rsidRPr="00101C6A">
                <w:rPr>
                  <w:rFonts w:ascii="Times New Roman" w:hAnsi="Times New Roman"/>
                  <w:sz w:val="14"/>
                  <w:szCs w:val="14"/>
                  <w:lang w:val="uk-UA" w:eastAsia="uk-UA"/>
                </w:rPr>
                <w:t>Якщо у вкладника більше одного вкладу в банку</w:t>
              </w:r>
            </w:hyperlink>
          </w:p>
        </w:tc>
        <w:tc>
          <w:tcPr>
            <w:tcW w:w="4178" w:type="pct"/>
            <w:tcBorders>
              <w:top w:val="outset" w:sz="6" w:space="0" w:color="auto"/>
              <w:left w:val="outset" w:sz="6" w:space="0" w:color="auto"/>
              <w:bottom w:val="outset" w:sz="6" w:space="0" w:color="auto"/>
              <w:right w:val="outset" w:sz="6" w:space="0" w:color="auto"/>
            </w:tcBorders>
            <w:vAlign w:val="center"/>
            <w:hideMark/>
          </w:tcPr>
          <w:p w:rsidR="00921614" w:rsidRPr="00101C6A" w:rsidRDefault="00921614" w:rsidP="00FE67FF">
            <w:pPr>
              <w:spacing w:before="20" w:after="20"/>
              <w:jc w:val="both"/>
              <w:rPr>
                <w:rFonts w:ascii="Times New Roman" w:hAnsi="Times New Roman"/>
                <w:sz w:val="14"/>
                <w:szCs w:val="14"/>
                <w:lang w:val="uk-UA" w:eastAsia="uk-UA"/>
              </w:rPr>
            </w:pPr>
            <w:r w:rsidRPr="00101C6A">
              <w:rPr>
                <w:rFonts w:ascii="Times New Roman" w:hAnsi="Times New Roman"/>
                <w:sz w:val="14"/>
                <w:szCs w:val="14"/>
                <w:lang w:val="uk-UA" w:eastAsia="uk-UA"/>
              </w:rPr>
              <w:t xml:space="preserve">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5" w:tgtFrame="_blank" w:history="1">
              <w:r w:rsidRPr="00101C6A">
                <w:rPr>
                  <w:rFonts w:ascii="Times New Roman" w:hAnsi="Times New Roman"/>
                  <w:sz w:val="14"/>
                  <w:szCs w:val="14"/>
                  <w:lang w:val="uk-UA" w:eastAsia="uk-UA"/>
                </w:rPr>
                <w:t>статті 26 Закону України «Про систему гарантування вкладів фізичних осіб</w:t>
              </w:r>
            </w:hyperlink>
            <w:r w:rsidRPr="00101C6A">
              <w:rPr>
                <w:rFonts w:ascii="Times New Roman" w:hAnsi="Times New Roman"/>
                <w:sz w:val="14"/>
                <w:szCs w:val="14"/>
                <w:lang w:val="uk-UA"/>
              </w:rPr>
              <w:t>».</w:t>
            </w:r>
          </w:p>
        </w:tc>
      </w:tr>
      <w:tr w:rsidR="00921614" w:rsidRPr="00101C6A" w:rsidTr="004C4129">
        <w:trPr>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921614" w:rsidRPr="00101C6A" w:rsidRDefault="00AD1FEB" w:rsidP="00FE67FF">
            <w:pPr>
              <w:rPr>
                <w:rFonts w:ascii="Times New Roman" w:hAnsi="Times New Roman"/>
                <w:sz w:val="14"/>
                <w:szCs w:val="14"/>
                <w:lang w:val="uk-UA" w:eastAsia="uk-UA"/>
              </w:rPr>
            </w:pPr>
            <w:hyperlink r:id="rId16" w:tgtFrame="_blank" w:history="1">
              <w:r w:rsidR="00921614" w:rsidRPr="00101C6A">
                <w:rPr>
                  <w:rFonts w:ascii="Times New Roman" w:hAnsi="Times New Roman"/>
                  <w:sz w:val="14"/>
                  <w:szCs w:val="14"/>
                  <w:lang w:val="uk-UA" w:eastAsia="uk-UA"/>
                </w:rPr>
                <w:t>Період відшкодування у разі віднесення банку до категорії неплатоспроможних</w:t>
              </w:r>
            </w:hyperlink>
          </w:p>
        </w:tc>
        <w:tc>
          <w:tcPr>
            <w:tcW w:w="4178" w:type="pct"/>
            <w:tcBorders>
              <w:top w:val="outset" w:sz="6" w:space="0" w:color="auto"/>
              <w:left w:val="outset" w:sz="6" w:space="0" w:color="auto"/>
              <w:bottom w:val="outset" w:sz="6" w:space="0" w:color="auto"/>
              <w:right w:val="outset" w:sz="6" w:space="0" w:color="auto"/>
            </w:tcBorders>
            <w:vAlign w:val="center"/>
            <w:hideMark/>
          </w:tcPr>
          <w:p w:rsidR="00921614" w:rsidRPr="00101C6A" w:rsidRDefault="00921614" w:rsidP="00FE67FF">
            <w:pPr>
              <w:spacing w:before="20"/>
              <w:jc w:val="both"/>
              <w:rPr>
                <w:rFonts w:ascii="Times New Roman" w:hAnsi="Times New Roman"/>
                <w:sz w:val="14"/>
                <w:szCs w:val="14"/>
                <w:lang w:val="uk-UA" w:eastAsia="uk-UA"/>
              </w:rPr>
            </w:pPr>
            <w:r w:rsidRPr="00101C6A">
              <w:rPr>
                <w:rFonts w:ascii="Times New Roman" w:hAnsi="Times New Roman"/>
                <w:sz w:val="14"/>
                <w:szCs w:val="14"/>
                <w:lang w:val="uk-UA" w:eastAsia="uk-UA"/>
              </w:rPr>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500 000 рахунків, - не пізніше 30 робочих днів) з дня початку процедури виведення Фондом банку з ринку.</w:t>
            </w:r>
          </w:p>
          <w:p w:rsidR="00921614" w:rsidRPr="00101C6A" w:rsidRDefault="00921614" w:rsidP="00FE67FF">
            <w:pPr>
              <w:jc w:val="both"/>
              <w:rPr>
                <w:rFonts w:ascii="Times New Roman" w:hAnsi="Times New Roman"/>
                <w:sz w:val="14"/>
                <w:szCs w:val="14"/>
                <w:lang w:val="uk-UA" w:eastAsia="uk-UA"/>
              </w:rPr>
            </w:pPr>
            <w:r w:rsidRPr="00101C6A">
              <w:rPr>
                <w:rFonts w:ascii="Times New Roman" w:hAnsi="Times New Roman"/>
                <w:sz w:val="14"/>
                <w:szCs w:val="14"/>
                <w:lang w:val="uk-UA" w:eastAsia="uk-UA"/>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p>
          <w:p w:rsidR="00921614" w:rsidRPr="00101C6A" w:rsidRDefault="00921614" w:rsidP="00FE67FF">
            <w:pPr>
              <w:jc w:val="both"/>
              <w:rPr>
                <w:rFonts w:ascii="Times New Roman" w:hAnsi="Times New Roman"/>
                <w:sz w:val="14"/>
                <w:szCs w:val="14"/>
                <w:lang w:val="uk-UA" w:eastAsia="uk-UA"/>
              </w:rPr>
            </w:pPr>
            <w:r w:rsidRPr="00101C6A">
              <w:rPr>
                <w:rFonts w:ascii="Times New Roman" w:hAnsi="Times New Roman"/>
                <w:sz w:val="14"/>
                <w:szCs w:val="14"/>
                <w:lang w:val="uk-UA" w:eastAsia="uk-UA"/>
              </w:rPr>
              <w:t>Фонд має право не включати до розрахунку гарантованої суми відшкодування кошти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p>
          <w:p w:rsidR="00921614" w:rsidRPr="00101C6A" w:rsidRDefault="00921614" w:rsidP="00FE67FF">
            <w:pPr>
              <w:spacing w:after="20"/>
              <w:jc w:val="both"/>
              <w:rPr>
                <w:rFonts w:ascii="Times New Roman" w:hAnsi="Times New Roman"/>
                <w:sz w:val="14"/>
                <w:szCs w:val="14"/>
                <w:lang w:val="uk-UA" w:eastAsia="uk-UA"/>
              </w:rPr>
            </w:pPr>
            <w:r w:rsidRPr="00101C6A">
              <w:rPr>
                <w:rFonts w:ascii="Times New Roman" w:hAnsi="Times New Roman"/>
                <w:sz w:val="14"/>
                <w:szCs w:val="14"/>
                <w:lang w:val="uk-UA" w:eastAsia="uk-UA"/>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921614" w:rsidRPr="00977C0B" w:rsidTr="004C4129">
        <w:trPr>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921614" w:rsidRPr="00101C6A" w:rsidRDefault="00921614" w:rsidP="00FE67FF">
            <w:pPr>
              <w:rPr>
                <w:rFonts w:ascii="Times New Roman" w:hAnsi="Times New Roman"/>
                <w:sz w:val="14"/>
                <w:szCs w:val="14"/>
                <w:lang w:val="uk-UA" w:eastAsia="uk-UA"/>
              </w:rPr>
            </w:pPr>
            <w:r w:rsidRPr="00101C6A">
              <w:rPr>
                <w:rFonts w:ascii="Times New Roman" w:hAnsi="Times New Roman"/>
                <w:sz w:val="14"/>
                <w:szCs w:val="14"/>
                <w:lang w:val="uk-UA" w:eastAsia="uk-UA"/>
              </w:rPr>
              <w:t>Валюта відшкодування</w:t>
            </w:r>
          </w:p>
        </w:tc>
        <w:tc>
          <w:tcPr>
            <w:tcW w:w="4178" w:type="pct"/>
            <w:tcBorders>
              <w:top w:val="outset" w:sz="6" w:space="0" w:color="auto"/>
              <w:left w:val="outset" w:sz="6" w:space="0" w:color="auto"/>
              <w:bottom w:val="outset" w:sz="6" w:space="0" w:color="auto"/>
              <w:right w:val="outset" w:sz="6" w:space="0" w:color="auto"/>
            </w:tcBorders>
            <w:vAlign w:val="center"/>
            <w:hideMark/>
          </w:tcPr>
          <w:p w:rsidR="00921614" w:rsidRPr="00101C6A" w:rsidRDefault="00921614" w:rsidP="00FE67FF">
            <w:pPr>
              <w:spacing w:before="20"/>
              <w:jc w:val="both"/>
              <w:rPr>
                <w:rFonts w:ascii="Times New Roman" w:hAnsi="Times New Roman"/>
                <w:sz w:val="14"/>
                <w:szCs w:val="14"/>
                <w:lang w:val="uk-UA" w:eastAsia="uk-UA"/>
              </w:rPr>
            </w:pPr>
            <w:r w:rsidRPr="00101C6A">
              <w:rPr>
                <w:rFonts w:ascii="Times New Roman" w:hAnsi="Times New Roman"/>
                <w:sz w:val="14"/>
                <w:szCs w:val="14"/>
                <w:lang w:val="uk-UA" w:eastAsia="uk-UA"/>
              </w:rPr>
              <w:t>Відшкодування коштів за вкладом (за договорами банківського вкладу / банківського рахунку)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w:t>
            </w:r>
          </w:p>
          <w:p w:rsidR="00921614" w:rsidRPr="00101C6A" w:rsidRDefault="00921614" w:rsidP="00FE67FF">
            <w:pPr>
              <w:spacing w:after="20"/>
              <w:jc w:val="both"/>
              <w:rPr>
                <w:rFonts w:ascii="Times New Roman" w:hAnsi="Times New Roman"/>
                <w:sz w:val="14"/>
                <w:szCs w:val="14"/>
                <w:lang w:val="uk-UA" w:eastAsia="uk-UA"/>
              </w:rPr>
            </w:pPr>
            <w:r w:rsidRPr="00101C6A">
              <w:rPr>
                <w:rFonts w:ascii="Times New Roman" w:hAnsi="Times New Roman"/>
                <w:sz w:val="14"/>
                <w:szCs w:val="14"/>
                <w:lang w:val="uk-UA" w:eastAsia="uk-UA"/>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085529" w:rsidRPr="009959B8" w:rsidTr="004C4129">
        <w:trPr>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085529" w:rsidRDefault="00AD1FEB" w:rsidP="00FE67FF">
            <w:pPr>
              <w:rPr>
                <w:lang w:val="uk-UA"/>
              </w:rPr>
            </w:pPr>
            <w:hyperlink r:id="rId17" w:tgtFrame="_blank" w:history="1">
              <w:r w:rsidR="00085529" w:rsidRPr="00101C6A">
                <w:rPr>
                  <w:rFonts w:ascii="Times New Roman" w:hAnsi="Times New Roman"/>
                  <w:sz w:val="14"/>
                  <w:szCs w:val="14"/>
                  <w:lang w:val="uk-UA" w:eastAsia="uk-UA"/>
                </w:rPr>
                <w:t>Контактна інформація</w:t>
              </w:r>
            </w:hyperlink>
          </w:p>
          <w:p w:rsidR="009959B8" w:rsidRPr="009959B8" w:rsidRDefault="009959B8" w:rsidP="00FE67FF">
            <w:pPr>
              <w:rPr>
                <w:rFonts w:ascii="Times New Roman" w:hAnsi="Times New Roman"/>
                <w:sz w:val="14"/>
                <w:szCs w:val="14"/>
                <w:lang w:val="uk-UA" w:eastAsia="uk-UA"/>
              </w:rPr>
            </w:pPr>
            <w:r w:rsidRPr="00085529">
              <w:rPr>
                <w:rFonts w:ascii="Times New Roman" w:hAnsi="Times New Roman"/>
                <w:sz w:val="14"/>
                <w:szCs w:val="14"/>
                <w:lang w:val="uk-UA" w:eastAsia="uk-UA"/>
              </w:rPr>
              <w:t>Фонду гарантування вкладів фізичних осіб</w:t>
            </w:r>
          </w:p>
        </w:tc>
        <w:tc>
          <w:tcPr>
            <w:tcW w:w="4178" w:type="pct"/>
            <w:tcBorders>
              <w:top w:val="outset" w:sz="6" w:space="0" w:color="auto"/>
              <w:left w:val="outset" w:sz="6" w:space="0" w:color="auto"/>
              <w:bottom w:val="outset" w:sz="6" w:space="0" w:color="auto"/>
              <w:right w:val="outset" w:sz="6" w:space="0" w:color="auto"/>
            </w:tcBorders>
            <w:vAlign w:val="center"/>
            <w:hideMark/>
          </w:tcPr>
          <w:p w:rsidR="00085529" w:rsidRPr="00085529" w:rsidRDefault="00085529" w:rsidP="00A87EE8">
            <w:pPr>
              <w:spacing w:before="120"/>
              <w:rPr>
                <w:rFonts w:ascii="Times New Roman" w:hAnsi="Times New Roman"/>
                <w:sz w:val="14"/>
                <w:szCs w:val="14"/>
                <w:lang w:val="uk-UA" w:eastAsia="uk-UA"/>
              </w:rPr>
            </w:pPr>
            <w:r w:rsidRPr="00085529">
              <w:rPr>
                <w:rFonts w:ascii="Times New Roman" w:hAnsi="Times New Roman"/>
                <w:sz w:val="14"/>
                <w:szCs w:val="14"/>
                <w:lang w:val="uk-UA" w:eastAsia="uk-UA"/>
              </w:rPr>
              <w:t>04053, м. Київ, вулиця Січових Стрільців, 17</w:t>
            </w:r>
            <w:r w:rsidRPr="00085529">
              <w:rPr>
                <w:rFonts w:ascii="Times New Roman" w:hAnsi="Times New Roman"/>
                <w:sz w:val="14"/>
                <w:szCs w:val="14"/>
                <w:lang w:val="uk-UA" w:eastAsia="uk-UA"/>
              </w:rPr>
              <w:br/>
              <w:t xml:space="preserve">Гаряча лінія Фонду гарантування вкладів фізичних осіб: </w:t>
            </w:r>
          </w:p>
          <w:p w:rsidR="00085529" w:rsidRPr="009959B8" w:rsidRDefault="00085529" w:rsidP="00A87EE8">
            <w:pPr>
              <w:rPr>
                <w:rFonts w:ascii="Times New Roman" w:hAnsi="Times New Roman"/>
                <w:sz w:val="14"/>
                <w:szCs w:val="14"/>
                <w:lang w:val="uk-UA" w:eastAsia="uk-UA"/>
              </w:rPr>
            </w:pPr>
            <w:r w:rsidRPr="009959B8">
              <w:rPr>
                <w:rFonts w:ascii="Times New Roman" w:hAnsi="Times New Roman"/>
                <w:sz w:val="14"/>
                <w:szCs w:val="14"/>
                <w:lang w:val="uk-UA" w:eastAsia="uk-UA"/>
              </w:rPr>
              <w:t>0-800-308-108</w:t>
            </w:r>
          </w:p>
          <w:p w:rsidR="00085529" w:rsidRPr="009959B8" w:rsidRDefault="00085529" w:rsidP="00A87EE8">
            <w:pPr>
              <w:spacing w:after="120"/>
              <w:rPr>
                <w:rFonts w:ascii="Times New Roman" w:hAnsi="Times New Roman"/>
                <w:sz w:val="14"/>
                <w:szCs w:val="14"/>
                <w:lang w:val="uk-UA" w:eastAsia="uk-UA"/>
              </w:rPr>
            </w:pPr>
            <w:r w:rsidRPr="009959B8">
              <w:rPr>
                <w:rFonts w:ascii="Times New Roman" w:hAnsi="Times New Roman"/>
                <w:sz w:val="14"/>
                <w:szCs w:val="14"/>
                <w:lang w:val="uk-UA" w:eastAsia="uk-UA"/>
              </w:rPr>
              <w:t>(044) 333-36-55</w:t>
            </w:r>
          </w:p>
        </w:tc>
      </w:tr>
      <w:tr w:rsidR="00085529" w:rsidRPr="00977C0B" w:rsidTr="004C4129">
        <w:trPr>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085529" w:rsidRPr="00101C6A" w:rsidRDefault="00085529" w:rsidP="00FE67FF">
            <w:pPr>
              <w:rPr>
                <w:rFonts w:ascii="Times New Roman" w:hAnsi="Times New Roman"/>
                <w:sz w:val="14"/>
                <w:szCs w:val="14"/>
                <w:lang w:val="uk-UA" w:eastAsia="uk-UA"/>
              </w:rPr>
            </w:pPr>
            <w:r w:rsidRPr="00101C6A">
              <w:rPr>
                <w:rFonts w:ascii="Times New Roman" w:hAnsi="Times New Roman"/>
                <w:sz w:val="14"/>
                <w:szCs w:val="14"/>
                <w:lang w:val="uk-UA" w:eastAsia="uk-UA"/>
              </w:rPr>
              <w:t>Докладніша інформація</w:t>
            </w:r>
          </w:p>
        </w:tc>
        <w:tc>
          <w:tcPr>
            <w:tcW w:w="4178" w:type="pct"/>
            <w:tcBorders>
              <w:top w:val="outset" w:sz="6" w:space="0" w:color="auto"/>
              <w:left w:val="outset" w:sz="6" w:space="0" w:color="auto"/>
              <w:bottom w:val="outset" w:sz="6" w:space="0" w:color="auto"/>
              <w:right w:val="outset" w:sz="6" w:space="0" w:color="auto"/>
            </w:tcBorders>
            <w:vAlign w:val="center"/>
            <w:hideMark/>
          </w:tcPr>
          <w:p w:rsidR="00085529" w:rsidRPr="00085529" w:rsidRDefault="00085529" w:rsidP="00A87EE8">
            <w:pPr>
              <w:spacing w:before="120" w:after="120"/>
              <w:rPr>
                <w:rFonts w:ascii="Times New Roman" w:hAnsi="Times New Roman"/>
                <w:sz w:val="14"/>
                <w:szCs w:val="14"/>
                <w:lang w:val="uk-UA" w:eastAsia="uk-UA"/>
              </w:rPr>
            </w:pPr>
            <w:r w:rsidRPr="00085529">
              <w:rPr>
                <w:rFonts w:ascii="Times New Roman" w:hAnsi="Times New Roman"/>
                <w:sz w:val="14"/>
                <w:szCs w:val="14"/>
                <w:lang w:eastAsia="uk-UA"/>
              </w:rPr>
              <w:t>http</w:t>
            </w:r>
            <w:r w:rsidRPr="00085529">
              <w:rPr>
                <w:rFonts w:ascii="Times New Roman" w:hAnsi="Times New Roman"/>
                <w:sz w:val="14"/>
                <w:szCs w:val="14"/>
                <w:lang w:val="uk-UA" w:eastAsia="uk-UA"/>
              </w:rPr>
              <w:t>://</w:t>
            </w:r>
            <w:r w:rsidRPr="00085529">
              <w:rPr>
                <w:rFonts w:ascii="Times New Roman" w:hAnsi="Times New Roman"/>
                <w:sz w:val="14"/>
                <w:szCs w:val="14"/>
                <w:lang w:eastAsia="uk-UA"/>
              </w:rPr>
              <w:t>www</w:t>
            </w:r>
            <w:r w:rsidRPr="00085529">
              <w:rPr>
                <w:rFonts w:ascii="Times New Roman" w:hAnsi="Times New Roman"/>
                <w:sz w:val="14"/>
                <w:szCs w:val="14"/>
                <w:lang w:val="uk-UA" w:eastAsia="uk-UA"/>
              </w:rPr>
              <w:t>.</w:t>
            </w:r>
            <w:proofErr w:type="spellStart"/>
            <w:r w:rsidRPr="00085529">
              <w:rPr>
                <w:rFonts w:ascii="Times New Roman" w:hAnsi="Times New Roman"/>
                <w:sz w:val="14"/>
                <w:szCs w:val="14"/>
                <w:lang w:eastAsia="uk-UA"/>
              </w:rPr>
              <w:t>fg</w:t>
            </w:r>
            <w:proofErr w:type="spellEnd"/>
            <w:r w:rsidRPr="00085529">
              <w:rPr>
                <w:rFonts w:ascii="Times New Roman" w:hAnsi="Times New Roman"/>
                <w:sz w:val="14"/>
                <w:szCs w:val="14"/>
                <w:lang w:val="uk-UA" w:eastAsia="uk-UA"/>
              </w:rPr>
              <w:t>.</w:t>
            </w:r>
            <w:proofErr w:type="spellStart"/>
            <w:r w:rsidRPr="00085529">
              <w:rPr>
                <w:rFonts w:ascii="Times New Roman" w:hAnsi="Times New Roman"/>
                <w:sz w:val="14"/>
                <w:szCs w:val="14"/>
                <w:lang w:eastAsia="uk-UA"/>
              </w:rPr>
              <w:t>gov</w:t>
            </w:r>
            <w:proofErr w:type="spellEnd"/>
            <w:r w:rsidRPr="00085529">
              <w:rPr>
                <w:rFonts w:ascii="Times New Roman" w:hAnsi="Times New Roman"/>
                <w:sz w:val="14"/>
                <w:szCs w:val="14"/>
                <w:lang w:val="uk-UA" w:eastAsia="uk-UA"/>
              </w:rPr>
              <w:t>.</w:t>
            </w:r>
            <w:proofErr w:type="spellStart"/>
            <w:r w:rsidRPr="00085529">
              <w:rPr>
                <w:rFonts w:ascii="Times New Roman" w:hAnsi="Times New Roman"/>
                <w:sz w:val="14"/>
                <w:szCs w:val="14"/>
                <w:lang w:eastAsia="uk-UA"/>
              </w:rPr>
              <w:t>ua</w:t>
            </w:r>
            <w:proofErr w:type="spellEnd"/>
          </w:p>
        </w:tc>
      </w:tr>
      <w:tr w:rsidR="00921614" w:rsidRPr="00101C6A" w:rsidTr="004C4129">
        <w:trPr>
          <w:trHeight w:val="901"/>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921614" w:rsidRPr="00101C6A" w:rsidRDefault="00921614" w:rsidP="00FE67FF">
            <w:pPr>
              <w:rPr>
                <w:rFonts w:ascii="Times New Roman" w:hAnsi="Times New Roman"/>
                <w:sz w:val="14"/>
                <w:szCs w:val="14"/>
                <w:lang w:val="uk-UA" w:eastAsia="uk-UA"/>
              </w:rPr>
            </w:pPr>
            <w:r w:rsidRPr="00101C6A">
              <w:rPr>
                <w:rFonts w:ascii="Times New Roman" w:hAnsi="Times New Roman"/>
                <w:sz w:val="14"/>
                <w:szCs w:val="14"/>
                <w:lang w:val="uk-UA" w:eastAsia="uk-UA"/>
              </w:rPr>
              <w:t>Підтвердження одержання вкладником</w:t>
            </w:r>
          </w:p>
        </w:tc>
        <w:tc>
          <w:tcPr>
            <w:tcW w:w="4178" w:type="pct"/>
            <w:tcBorders>
              <w:top w:val="outset" w:sz="6" w:space="0" w:color="auto"/>
              <w:left w:val="outset" w:sz="6" w:space="0" w:color="auto"/>
              <w:bottom w:val="outset" w:sz="6" w:space="0" w:color="auto"/>
              <w:right w:val="outset" w:sz="6" w:space="0" w:color="auto"/>
            </w:tcBorders>
            <w:vAlign w:val="center"/>
            <w:hideMark/>
          </w:tcPr>
          <w:p w:rsidR="00921614" w:rsidRPr="00101C6A" w:rsidRDefault="00921614" w:rsidP="00FE67FF">
            <w:pPr>
              <w:rPr>
                <w:rFonts w:ascii="Times New Roman" w:hAnsi="Times New Roman"/>
                <w:sz w:val="14"/>
                <w:szCs w:val="14"/>
                <w:lang w:val="uk-UA"/>
              </w:rPr>
            </w:pPr>
          </w:p>
          <w:p w:rsidR="00921614" w:rsidRPr="00101C6A" w:rsidRDefault="00921614" w:rsidP="00FE67FF">
            <w:pPr>
              <w:rPr>
                <w:rFonts w:ascii="Times New Roman" w:hAnsi="Times New Roman"/>
                <w:sz w:val="14"/>
                <w:szCs w:val="14"/>
                <w:lang w:val="uk-UA"/>
              </w:rPr>
            </w:pPr>
            <w:r w:rsidRPr="00101C6A">
              <w:rPr>
                <w:rFonts w:ascii="Times New Roman" w:hAnsi="Times New Roman"/>
                <w:sz w:val="14"/>
                <w:szCs w:val="14"/>
                <w:lang w:val="uk-UA" w:eastAsia="uk-UA"/>
              </w:rPr>
              <w:t>_________________________   (_________________________)</w:t>
            </w:r>
            <w:r w:rsidRPr="00101C6A">
              <w:rPr>
                <w:rFonts w:ascii="Times New Roman" w:hAnsi="Times New Roman"/>
                <w:sz w:val="14"/>
                <w:szCs w:val="14"/>
                <w:lang w:val="uk-UA" w:eastAsia="uk-UA"/>
              </w:rPr>
              <w:br/>
            </w:r>
            <w:r w:rsidR="00080DE7">
              <w:rPr>
                <w:rFonts w:ascii="Times New Roman" w:hAnsi="Times New Roman"/>
                <w:sz w:val="14"/>
                <w:szCs w:val="14"/>
                <w:lang w:val="uk-UA" w:eastAsia="uk-UA"/>
              </w:rPr>
              <w:t>            </w:t>
            </w:r>
            <w:r w:rsidRPr="00101C6A">
              <w:rPr>
                <w:rFonts w:ascii="Times New Roman" w:hAnsi="Times New Roman"/>
                <w:sz w:val="14"/>
                <w:szCs w:val="14"/>
                <w:lang w:val="uk-UA" w:eastAsia="uk-UA"/>
              </w:rPr>
              <w:t>(підпис</w:t>
            </w:r>
            <w:r w:rsidR="00080DE7">
              <w:rPr>
                <w:rFonts w:ascii="Times New Roman" w:hAnsi="Times New Roman"/>
                <w:sz w:val="14"/>
                <w:szCs w:val="14"/>
                <w:lang w:val="uk-UA" w:eastAsia="uk-UA"/>
              </w:rPr>
              <w:t xml:space="preserve"> вкладника</w:t>
            </w:r>
            <w:r w:rsidRPr="00101C6A">
              <w:rPr>
                <w:rFonts w:ascii="Times New Roman" w:hAnsi="Times New Roman"/>
                <w:sz w:val="14"/>
                <w:szCs w:val="14"/>
                <w:lang w:val="uk-UA" w:eastAsia="uk-UA"/>
              </w:rPr>
              <w:t>)</w:t>
            </w:r>
            <w:r w:rsidRPr="00101C6A">
              <w:rPr>
                <w:rFonts w:ascii="Times New Roman" w:hAnsi="Times New Roman"/>
                <w:sz w:val="14"/>
                <w:szCs w:val="14"/>
                <w:lang w:val="uk-UA"/>
              </w:rPr>
              <w:t xml:space="preserve">                                         (ПІБ)</w:t>
            </w:r>
          </w:p>
          <w:p w:rsidR="00921614" w:rsidRPr="00101C6A" w:rsidRDefault="00921614" w:rsidP="00FE67FF">
            <w:pPr>
              <w:rPr>
                <w:rFonts w:ascii="Times New Roman" w:hAnsi="Times New Roman"/>
                <w:sz w:val="14"/>
                <w:szCs w:val="14"/>
                <w:lang w:val="uk-UA" w:eastAsia="uk-UA"/>
              </w:rPr>
            </w:pPr>
            <w:r w:rsidRPr="00101C6A">
              <w:rPr>
                <w:rFonts w:ascii="Times New Roman" w:hAnsi="Times New Roman"/>
                <w:sz w:val="14"/>
                <w:szCs w:val="14"/>
                <w:lang w:val="uk-UA" w:eastAsia="uk-UA"/>
              </w:rPr>
              <w:t xml:space="preserve"> </w:t>
            </w:r>
          </w:p>
          <w:p w:rsidR="00921614" w:rsidRPr="00101C6A" w:rsidRDefault="00921614" w:rsidP="00977C0B">
            <w:pPr>
              <w:spacing w:after="20"/>
              <w:rPr>
                <w:rFonts w:ascii="Times New Roman" w:hAnsi="Times New Roman"/>
                <w:sz w:val="14"/>
                <w:szCs w:val="14"/>
                <w:lang w:val="uk-UA" w:eastAsia="uk-UA"/>
              </w:rPr>
            </w:pPr>
            <w:r w:rsidRPr="00101C6A">
              <w:rPr>
                <w:rFonts w:ascii="Times New Roman" w:hAnsi="Times New Roman"/>
                <w:sz w:val="14"/>
                <w:szCs w:val="14"/>
                <w:lang w:val="uk-UA" w:eastAsia="uk-UA"/>
              </w:rPr>
              <w:t>«___» _______________ 20</w:t>
            </w:r>
            <w:r w:rsidR="00977C0B">
              <w:rPr>
                <w:rFonts w:ascii="Times New Roman" w:hAnsi="Times New Roman"/>
                <w:sz w:val="14"/>
                <w:szCs w:val="14"/>
                <w:lang w:val="uk-UA" w:eastAsia="uk-UA"/>
              </w:rPr>
              <w:t>_</w:t>
            </w:r>
            <w:r w:rsidRPr="00101C6A">
              <w:rPr>
                <w:rFonts w:ascii="Times New Roman" w:hAnsi="Times New Roman"/>
                <w:sz w:val="14"/>
                <w:szCs w:val="14"/>
                <w:lang w:val="uk-UA" w:eastAsia="uk-UA"/>
              </w:rPr>
              <w:t>_ року</w:t>
            </w:r>
          </w:p>
        </w:tc>
      </w:tr>
      <w:tr w:rsidR="00921614" w:rsidRPr="00101C6A" w:rsidTr="004C4129">
        <w:trPr>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921614" w:rsidRPr="00101C6A" w:rsidRDefault="00921614" w:rsidP="00FE67FF">
            <w:pPr>
              <w:rPr>
                <w:rFonts w:ascii="Times New Roman" w:hAnsi="Times New Roman"/>
                <w:sz w:val="14"/>
                <w:szCs w:val="14"/>
                <w:lang w:val="uk-UA" w:eastAsia="uk-UA"/>
              </w:rPr>
            </w:pPr>
            <w:r w:rsidRPr="00101C6A">
              <w:rPr>
                <w:rFonts w:ascii="Times New Roman" w:hAnsi="Times New Roman"/>
                <w:sz w:val="14"/>
                <w:szCs w:val="14"/>
                <w:lang w:val="uk-UA" w:eastAsia="uk-UA"/>
              </w:rPr>
              <w:t>Додаткова інформація</w:t>
            </w:r>
          </w:p>
        </w:tc>
        <w:tc>
          <w:tcPr>
            <w:tcW w:w="4178" w:type="pct"/>
            <w:tcBorders>
              <w:top w:val="outset" w:sz="6" w:space="0" w:color="auto"/>
              <w:left w:val="outset" w:sz="6" w:space="0" w:color="auto"/>
              <w:bottom w:val="outset" w:sz="6" w:space="0" w:color="auto"/>
              <w:right w:val="outset" w:sz="6" w:space="0" w:color="auto"/>
            </w:tcBorders>
            <w:vAlign w:val="center"/>
            <w:hideMark/>
          </w:tcPr>
          <w:p w:rsidR="00921614" w:rsidRPr="00101C6A" w:rsidRDefault="00921614" w:rsidP="00FE67FF">
            <w:pPr>
              <w:spacing w:before="20"/>
              <w:jc w:val="both"/>
              <w:rPr>
                <w:rFonts w:ascii="Times New Roman" w:hAnsi="Times New Roman"/>
                <w:sz w:val="14"/>
                <w:szCs w:val="14"/>
                <w:lang w:val="uk-UA" w:eastAsia="uk-UA"/>
              </w:rPr>
            </w:pPr>
            <w:r w:rsidRPr="00101C6A">
              <w:rPr>
                <w:rFonts w:ascii="Times New Roman" w:hAnsi="Times New Roman"/>
                <w:sz w:val="14"/>
                <w:szCs w:val="14"/>
                <w:lang w:val="uk-UA" w:eastAsia="uk-UA"/>
              </w:rPr>
              <w:t>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921614" w:rsidRPr="00101C6A" w:rsidRDefault="00921614" w:rsidP="00FE67FF">
            <w:pPr>
              <w:jc w:val="both"/>
              <w:rPr>
                <w:rFonts w:ascii="Times New Roman" w:hAnsi="Times New Roman"/>
                <w:sz w:val="14"/>
                <w:szCs w:val="14"/>
                <w:lang w:val="uk-UA" w:eastAsia="uk-UA"/>
              </w:rPr>
            </w:pPr>
            <w:r w:rsidRPr="00101C6A">
              <w:rPr>
                <w:rFonts w:ascii="Times New Roman" w:hAnsi="Times New Roman"/>
                <w:sz w:val="14"/>
                <w:szCs w:val="14"/>
                <w:lang w:val="uk-UA" w:eastAsia="uk-UA"/>
              </w:rP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p>
          <w:p w:rsidR="00921614" w:rsidRPr="00101C6A" w:rsidRDefault="00921614" w:rsidP="00FE67FF">
            <w:pPr>
              <w:jc w:val="both"/>
              <w:rPr>
                <w:rFonts w:ascii="Times New Roman" w:hAnsi="Times New Roman"/>
                <w:sz w:val="14"/>
                <w:szCs w:val="14"/>
                <w:lang w:val="uk-UA" w:eastAsia="uk-UA"/>
              </w:rPr>
            </w:pPr>
            <w:r w:rsidRPr="00101C6A">
              <w:rPr>
                <w:rFonts w:ascii="Times New Roman" w:hAnsi="Times New Roman"/>
                <w:sz w:val="14"/>
                <w:szCs w:val="14"/>
                <w:lang w:val="uk-UA" w:eastAsia="uk-UA"/>
              </w:rP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rsidR="00921614" w:rsidRPr="00101C6A" w:rsidRDefault="00921614" w:rsidP="00FE67FF">
            <w:pPr>
              <w:spacing w:after="20"/>
              <w:jc w:val="both"/>
              <w:rPr>
                <w:rFonts w:ascii="Times New Roman" w:hAnsi="Times New Roman"/>
                <w:sz w:val="14"/>
                <w:szCs w:val="14"/>
                <w:lang w:val="uk-UA" w:eastAsia="uk-UA"/>
              </w:rPr>
            </w:pPr>
            <w:r w:rsidRPr="00101C6A">
              <w:rPr>
                <w:rFonts w:ascii="Times New Roman" w:hAnsi="Times New Roman"/>
                <w:sz w:val="14"/>
                <w:szCs w:val="14"/>
                <w:lang w:val="uk-UA" w:eastAsia="uk-UA"/>
              </w:rPr>
              <w:t xml:space="preserve">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18" w:tgtFrame="_blank" w:history="1">
              <w:r w:rsidRPr="00101C6A">
                <w:rPr>
                  <w:rFonts w:ascii="Times New Roman" w:hAnsi="Times New Roman"/>
                  <w:sz w:val="14"/>
                  <w:szCs w:val="14"/>
                  <w:lang w:val="uk-UA" w:eastAsia="uk-UA"/>
                </w:rPr>
                <w:t>статті 77 Закону України «Про банки і банківську діяльність</w:t>
              </w:r>
            </w:hyperlink>
            <w:r w:rsidRPr="00101C6A">
              <w:rPr>
                <w:rFonts w:ascii="Times New Roman" w:hAnsi="Times New Roman"/>
                <w:sz w:val="14"/>
                <w:szCs w:val="14"/>
                <w:lang w:val="uk-UA"/>
              </w:rPr>
              <w:t>»</w:t>
            </w:r>
            <w:hyperlink r:id="rId19" w:tgtFrame="_blank" w:history="1">
              <w:r w:rsidRPr="00101C6A">
                <w:rPr>
                  <w:rFonts w:ascii="Times New Roman" w:hAnsi="Times New Roman"/>
                  <w:sz w:val="14"/>
                  <w:szCs w:val="14"/>
                  <w:lang w:val="uk-UA" w:eastAsia="uk-UA"/>
                </w:rPr>
                <w:t>, - у день прийняття рішення про відкликання банківської ліцензії та ліквідацію банку)</w:t>
              </w:r>
            </w:hyperlink>
          </w:p>
        </w:tc>
      </w:tr>
    </w:tbl>
    <w:p w:rsidR="00AD3F8D" w:rsidRPr="00101C6A" w:rsidRDefault="00A14B99" w:rsidP="00101C6A">
      <w:pPr>
        <w:rPr>
          <w:lang w:val="uk-UA"/>
        </w:rPr>
      </w:pPr>
    </w:p>
    <w:sectPr w:rsidR="00AD3F8D" w:rsidRPr="00101C6A" w:rsidSect="00101C6A">
      <w:pgSz w:w="11906" w:h="16838"/>
      <w:pgMar w:top="568"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D5232"/>
    <w:multiLevelType w:val="hybridMultilevel"/>
    <w:tmpl w:val="146CF2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21614"/>
    <w:rsid w:val="00003C59"/>
    <w:rsid w:val="00080DE7"/>
    <w:rsid w:val="00085529"/>
    <w:rsid w:val="00101C6A"/>
    <w:rsid w:val="001458A8"/>
    <w:rsid w:val="001B5C17"/>
    <w:rsid w:val="004C4129"/>
    <w:rsid w:val="006026FB"/>
    <w:rsid w:val="00733DA7"/>
    <w:rsid w:val="0083567B"/>
    <w:rsid w:val="00921614"/>
    <w:rsid w:val="009755B8"/>
    <w:rsid w:val="00977C0B"/>
    <w:rsid w:val="009959B8"/>
    <w:rsid w:val="00A14B99"/>
    <w:rsid w:val="00AC0476"/>
    <w:rsid w:val="00AD1FEB"/>
    <w:rsid w:val="00B83123"/>
    <w:rsid w:val="00C331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614"/>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21614"/>
    <w:pPr>
      <w:ind w:left="567" w:firstLine="2"/>
    </w:pPr>
    <w:rPr>
      <w:szCs w:val="20"/>
      <w:lang w:val="uk-UA" w:eastAsia="ru-RU" w:bidi="ar-SA"/>
    </w:rPr>
  </w:style>
  <w:style w:type="character" w:customStyle="1" w:styleId="a4">
    <w:name w:val="Основной текст с отступом Знак"/>
    <w:basedOn w:val="a0"/>
    <w:link w:val="a3"/>
    <w:uiPriority w:val="99"/>
    <w:rsid w:val="00921614"/>
    <w:rPr>
      <w:rFonts w:ascii="Calibri" w:eastAsia="Times New Roman" w:hAnsi="Calibri" w:cs="Times New Roman"/>
      <w:sz w:val="24"/>
      <w:szCs w:val="20"/>
      <w:lang w:eastAsia="ru-RU"/>
    </w:rPr>
  </w:style>
  <w:style w:type="paragraph" w:styleId="a5">
    <w:name w:val="Balloon Text"/>
    <w:basedOn w:val="a"/>
    <w:link w:val="a6"/>
    <w:uiPriority w:val="99"/>
    <w:semiHidden/>
    <w:unhideWhenUsed/>
    <w:rsid w:val="004C4129"/>
    <w:rPr>
      <w:rFonts w:ascii="Tahoma" w:hAnsi="Tahoma" w:cs="Tahoma"/>
      <w:sz w:val="16"/>
      <w:szCs w:val="16"/>
    </w:rPr>
  </w:style>
  <w:style w:type="character" w:customStyle="1" w:styleId="a6">
    <w:name w:val="Текст выноски Знак"/>
    <w:basedOn w:val="a0"/>
    <w:link w:val="a5"/>
    <w:uiPriority w:val="99"/>
    <w:semiHidden/>
    <w:rsid w:val="004C4129"/>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02121?ed=2018_07_03&amp;an=826407" TargetMode="External"/><Relationship Id="rId13" Type="http://schemas.openxmlformats.org/officeDocument/2006/relationships/hyperlink" Target="https://ips.ligazakon.net/document/view/t002121?ed=2018_07_03&amp;an=826888" TargetMode="External"/><Relationship Id="rId18" Type="http://schemas.openxmlformats.org/officeDocument/2006/relationships/hyperlink" Target="https://ips.ligazakon.net/document/view/t002121?ed=2018_07_03&amp;an=82640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ps.ligazakon.net/document/view/re32760?ed=2018_08_16&amp;an=58" TargetMode="External"/><Relationship Id="rId12" Type="http://schemas.openxmlformats.org/officeDocument/2006/relationships/hyperlink" Target="https://ips.ligazakon.net/document/view/t002121?ed=2018_07_03&amp;an=826407" TargetMode="External"/><Relationship Id="rId17" Type="http://schemas.openxmlformats.org/officeDocument/2006/relationships/hyperlink" Target="https://ips.ligazakon.net/document/view/re32760?ed=2018_08_16&amp;an=70" TargetMode="External"/><Relationship Id="rId2" Type="http://schemas.openxmlformats.org/officeDocument/2006/relationships/numbering" Target="numbering.xml"/><Relationship Id="rId16" Type="http://schemas.openxmlformats.org/officeDocument/2006/relationships/hyperlink" Target="https://ips.ligazakon.net/document/view/re32760?ed=2018_08_16&amp;an=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ps.ligazakon.net/document/view/t002121?ed=2018_07_03&amp;an=826407" TargetMode="External"/><Relationship Id="rId5" Type="http://schemas.openxmlformats.org/officeDocument/2006/relationships/webSettings" Target="webSettings.xml"/><Relationship Id="rId15" Type="http://schemas.openxmlformats.org/officeDocument/2006/relationships/hyperlink" Target="https://ips.ligazakon.net/document/view/t124452?ed=2018_07_05&amp;an=291" TargetMode="External"/><Relationship Id="rId10" Type="http://schemas.openxmlformats.org/officeDocument/2006/relationships/hyperlink" Target="https://ips.ligazakon.net/document/view/t124452?ed=2018_07_05&amp;an=298" TargetMode="External"/><Relationship Id="rId19" Type="http://schemas.openxmlformats.org/officeDocument/2006/relationships/hyperlink" Target="https://ips.ligazakon.net/document/view/re32760?ed=2018_08_16&amp;an=77" TargetMode="External"/><Relationship Id="rId4" Type="http://schemas.openxmlformats.org/officeDocument/2006/relationships/settings" Target="settings.xml"/><Relationship Id="rId9" Type="http://schemas.openxmlformats.org/officeDocument/2006/relationships/hyperlink" Target="https://ips.ligazakon.net/document/view/t124452?ed=2018_07_05&amp;an=291" TargetMode="External"/><Relationship Id="rId14" Type="http://schemas.openxmlformats.org/officeDocument/2006/relationships/hyperlink" Target="https://ips.ligazakon.net/document/view/re32760?ed=2018_08_16&amp;an=6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03E9B-4A53-423D-99C3-E107EC2F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5430</Words>
  <Characters>3096</Characters>
  <Application>Microsoft Office Word</Application>
  <DocSecurity>0</DocSecurity>
  <Lines>25</Lines>
  <Paragraphs>17</Paragraphs>
  <ScaleCrop>false</ScaleCrop>
  <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irudenko</dc:creator>
  <cp:lastModifiedBy>Rudenko</cp:lastModifiedBy>
  <cp:revision>2</cp:revision>
  <cp:lastPrinted>2020-01-09T13:49:00Z</cp:lastPrinted>
  <dcterms:created xsi:type="dcterms:W3CDTF">2020-01-09T14:00:00Z</dcterms:created>
  <dcterms:modified xsi:type="dcterms:W3CDTF">2020-01-09T14:00:00Z</dcterms:modified>
</cp:coreProperties>
</file>