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86" w:rsidRPr="006E172B" w:rsidRDefault="00410086" w:rsidP="00410086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E172B">
        <w:rPr>
          <w:sz w:val="24"/>
          <w:szCs w:val="24"/>
          <w:lang w:val="uk-UA"/>
        </w:rPr>
        <w:t xml:space="preserve">Повідомлення про виникнення особливої інформації (інформації про іпотечні цінні папери, сертифікати фонду операцій з нерухомістю) емітента </w:t>
      </w:r>
    </w:p>
    <w:p w:rsidR="00410086" w:rsidRPr="006E172B" w:rsidRDefault="00410086" w:rsidP="00410086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smartTag w:uri="urn:schemas-microsoft-com:office:smarttags" w:element="place">
        <w:r w:rsidRPr="006E172B">
          <w:rPr>
            <w:sz w:val="24"/>
            <w:szCs w:val="24"/>
            <w:lang w:val="en-US"/>
          </w:rPr>
          <w:t>I</w:t>
        </w:r>
        <w:r w:rsidRPr="006E172B">
          <w:rPr>
            <w:sz w:val="24"/>
            <w:szCs w:val="24"/>
            <w:lang w:val="uk-UA"/>
          </w:rPr>
          <w:t>.</w:t>
        </w:r>
      </w:smartTag>
      <w:r w:rsidRPr="006E172B">
        <w:rPr>
          <w:sz w:val="24"/>
          <w:szCs w:val="24"/>
          <w:lang w:val="uk-UA"/>
        </w:rPr>
        <w:t xml:space="preserve"> Загальні відомості </w:t>
      </w:r>
    </w:p>
    <w:p w:rsidR="00410086" w:rsidRPr="006E172B" w:rsidRDefault="00410086" w:rsidP="00410086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670A59">
        <w:rPr>
          <w:lang w:val="uk-UA"/>
        </w:rPr>
        <w:t>1. Повне найменування емітента</w:t>
      </w:r>
      <w:r w:rsidRPr="00DD4AF9">
        <w:t>:</w:t>
      </w:r>
      <w:r>
        <w:rPr>
          <w:lang w:val="uk-UA"/>
        </w:rPr>
        <w:t xml:space="preserve"> </w:t>
      </w:r>
      <w:r w:rsidRPr="006E172B">
        <w:rPr>
          <w:b/>
          <w:lang w:val="uk-UA"/>
        </w:rPr>
        <w:t>ПУБЛІЧНЕ АКЦІОНЕРНЕ ТОВАРИСТВО "БТА БАНК"</w:t>
      </w:r>
    </w:p>
    <w:p w:rsidR="00410086" w:rsidRPr="000E3AC5" w:rsidRDefault="00410086" w:rsidP="00410086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0256B8">
        <w:rPr>
          <w:lang w:val="uk-UA"/>
        </w:rPr>
        <w:t>2. Код за ЄДРПОУ</w:t>
      </w:r>
      <w:r w:rsidRPr="00DD4AF9">
        <w:t>:</w:t>
      </w:r>
      <w:r>
        <w:rPr>
          <w:lang w:val="uk-UA"/>
        </w:rPr>
        <w:t xml:space="preserve">  </w:t>
      </w:r>
      <w:r w:rsidRPr="000E3AC5">
        <w:rPr>
          <w:b/>
          <w:lang w:val="uk-UA"/>
        </w:rPr>
        <w:t>14359845</w:t>
      </w:r>
    </w:p>
    <w:p w:rsidR="00410086" w:rsidRDefault="00410086" w:rsidP="00410086">
      <w:pPr>
        <w:pStyle w:val="a3"/>
        <w:spacing w:before="0" w:beforeAutospacing="0" w:after="0" w:afterAutospacing="0"/>
        <w:jc w:val="both"/>
        <w:rPr>
          <w:lang w:val="uk-UA"/>
        </w:rPr>
      </w:pPr>
      <w:r w:rsidRPr="00DD4AF9">
        <w:t>3</w:t>
      </w:r>
      <w:r>
        <w:rPr>
          <w:lang w:val="uk-UA"/>
        </w:rPr>
        <w:t>. Місцезнаходження</w:t>
      </w:r>
      <w:r w:rsidRPr="00DD4AF9">
        <w:t>:</w:t>
      </w:r>
      <w:r>
        <w:rPr>
          <w:lang w:val="uk-UA"/>
        </w:rPr>
        <w:t xml:space="preserve">  01032 Київ Жилянська, 75</w:t>
      </w:r>
    </w:p>
    <w:p w:rsidR="00410086" w:rsidRDefault="00410086" w:rsidP="00410086">
      <w:pPr>
        <w:pStyle w:val="a3"/>
        <w:spacing w:before="0" w:beforeAutospacing="0" w:after="0" w:afterAutospacing="0"/>
        <w:jc w:val="both"/>
        <w:rPr>
          <w:lang w:val="uk-UA"/>
        </w:rPr>
      </w:pPr>
      <w:r w:rsidRPr="001B77DE">
        <w:rPr>
          <w:lang w:val="uk-UA"/>
        </w:rPr>
        <w:t>4. Міжміський код, телефон та факс</w:t>
      </w:r>
      <w:r w:rsidRPr="00DD4AF9">
        <w:t>:</w:t>
      </w:r>
      <w:r>
        <w:rPr>
          <w:lang w:val="uk-UA"/>
        </w:rPr>
        <w:t xml:space="preserve">  044 495-65-59 044 495-65-65</w:t>
      </w:r>
    </w:p>
    <w:p w:rsidR="00410086" w:rsidRDefault="00410086" w:rsidP="00410086">
      <w:pPr>
        <w:pStyle w:val="a3"/>
        <w:spacing w:before="0" w:beforeAutospacing="0" w:after="0" w:afterAutospacing="0"/>
        <w:jc w:val="both"/>
        <w:rPr>
          <w:lang w:val="uk-UA"/>
        </w:rPr>
      </w:pPr>
      <w:r w:rsidRPr="004A771E">
        <w:rPr>
          <w:lang w:val="uk-UA"/>
        </w:rPr>
        <w:t>5. Електронна поштова адреса</w:t>
      </w:r>
      <w:r w:rsidRPr="00DD4AF9">
        <w:t>:</w:t>
      </w:r>
      <w:r>
        <w:rPr>
          <w:lang w:val="uk-UA"/>
        </w:rPr>
        <w:t xml:space="preserve">  papir@bta.kiev.ua</w:t>
      </w:r>
    </w:p>
    <w:p w:rsidR="00410086" w:rsidRDefault="00410086" w:rsidP="00410086">
      <w:pPr>
        <w:pStyle w:val="a3"/>
        <w:spacing w:before="0" w:beforeAutospacing="0" w:after="0" w:afterAutospacing="0"/>
        <w:jc w:val="both"/>
        <w:rPr>
          <w:lang w:val="uk-UA"/>
        </w:rPr>
      </w:pPr>
      <w:r w:rsidRPr="00DD2D36">
        <w:rPr>
          <w:lang w:val="uk-UA"/>
        </w:rPr>
        <w:t>6. Адреса сторінки в мережі Інтернет, яка додатково використовується емітентом для розкриття інформації</w:t>
      </w:r>
      <w:r w:rsidRPr="00DD4AF9">
        <w:t>:</w:t>
      </w:r>
      <w:r>
        <w:rPr>
          <w:lang w:val="uk-UA"/>
        </w:rPr>
        <w:t xml:space="preserve">  http://btabank.ua/ukr/osobliva_informaciya.php</w:t>
      </w:r>
    </w:p>
    <w:p w:rsidR="00410086" w:rsidRPr="00DD4AF9" w:rsidRDefault="00410086" w:rsidP="00410086">
      <w:pPr>
        <w:pStyle w:val="a3"/>
        <w:spacing w:before="0" w:beforeAutospacing="0" w:after="0" w:afterAutospacing="0"/>
        <w:jc w:val="both"/>
        <w:rPr>
          <w:b/>
          <w:lang w:val="uk-UA"/>
        </w:rPr>
      </w:pPr>
      <w:r w:rsidRPr="00CC2C5B">
        <w:rPr>
          <w:lang w:val="uk-UA"/>
        </w:rPr>
        <w:t>7. Вид особливої інформації відповідного до вимог глави 1 розділу ІІІ або   інформації про іпотечні цінні папери, сертифікати фонду операцій з нерухомістю відповідного до вимог глави 2 розділу ІІІ цього Положення</w:t>
      </w:r>
      <w:r>
        <w:rPr>
          <w:lang w:val="uk-UA"/>
        </w:rPr>
        <w:t xml:space="preserve"> </w:t>
      </w:r>
      <w:r w:rsidRPr="00DD4AF9">
        <w:rPr>
          <w:lang w:val="uk-UA"/>
        </w:rPr>
        <w:t xml:space="preserve"> </w:t>
      </w:r>
      <w:r w:rsidRPr="00DD4AF9">
        <w:rPr>
          <w:b/>
          <w:lang w:val="uk-UA"/>
        </w:rPr>
        <w:t>Зміна складу посадових осіб емітента</w:t>
      </w:r>
    </w:p>
    <w:p w:rsidR="00410086" w:rsidRPr="006E172B" w:rsidRDefault="00410086" w:rsidP="00410086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E172B">
        <w:rPr>
          <w:sz w:val="24"/>
          <w:szCs w:val="24"/>
          <w:lang w:val="en-US"/>
        </w:rPr>
        <w:t>II</w:t>
      </w:r>
      <w:r w:rsidRPr="006E172B">
        <w:rPr>
          <w:sz w:val="24"/>
          <w:szCs w:val="24"/>
          <w:lang w:val="uk-UA"/>
        </w:rPr>
        <w:t xml:space="preserve">. Текст повідомлення </w:t>
      </w:r>
    </w:p>
    <w:p w:rsidR="00410086" w:rsidRPr="006F7CBB" w:rsidRDefault="00410086" w:rsidP="0041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Загальних збор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акціонерів ПАТ «БТА БАНК» від 16.06.2016 р.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ротокол № 3 від 16.06.2016 р.)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достроково припинено повноваження Голови Наглядової ради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Бабаєва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Аріфа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Шавєрдієвича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(паспорт: серія б/н номер 08449144 виданий 11.10.2012 р. Міністерством  внутрішніх справ Республіки Казахстан). Пакетом акцій емітента не володіє (0%). Непогашеної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немає. Строк, протягом якого особа перебувала на посаді: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22.01.2016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410086" w:rsidRPr="006F7CBB" w:rsidRDefault="00410086" w:rsidP="0041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Загальних зборів акціонерів ПАТ «БТА БАНК» від 16.06.2016 р.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ротокол № 3 від 16.06.2016 р.)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достроково припинено повноваження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Наглядової ради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Єшенкулова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Мурата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Тузелбєковича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(паспорт: серія б/с номер 09943163 виданий 05.03.2015 р. Міністерством юстиції Республіки Казахстан)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акетом акцій емітента не володіє</w:t>
      </w:r>
      <w:r w:rsidR="002B6E2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(0%). Непогашеної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немає. Строк, протягом якого особа перебувала на посаді:  з 22.01.2016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410086" w:rsidRPr="006F7CBB" w:rsidRDefault="00410086" w:rsidP="0041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Загальних зборів акціонерів ПАТ «БТА БАНК» від 16.06.2016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ротокол № 3 від 22.01.2016 р.)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достроково припинено повноваження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Наглядової ради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Куанба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Алькєн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Данєлули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(паспорт: серія б/с номер 08453438 виданий 18.10.2012 р. Міністерством внутрішніх справ Республіки Казахстан).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акетом акцій емітента не володіє (0%). Непогашеної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немає. Строк, протягом якого особа перебувала на посаді:  з 22.01.2016 р.</w:t>
      </w:r>
    </w:p>
    <w:p w:rsidR="00410086" w:rsidRPr="006F7CBB" w:rsidRDefault="00410086" w:rsidP="0041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Рішенням Загальних зборів ПАТ "БТА БАНК" від 16.06.2016 р. (протокол № 3 від 16.06.2016 р.)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достроково припинено повноваження незалежного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Наглядової ради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Глімбовськ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ої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Катерин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Олександрівн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(паспорт: серія МЕ номер 474369 виданий 08.10.2004 р. Святошинським РУ ГУ МВС України в м. Києві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 П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акетом акцій емітента не володіє (0%). Непогашеної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немає. Строк, протягом якого особа перебувала на посаді: з 22.01.2016 р.</w:t>
      </w:r>
    </w:p>
    <w:p w:rsidR="00410086" w:rsidRPr="006F7CBB" w:rsidRDefault="00410086" w:rsidP="0041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Рішенням Загальних зборів акціонерів ПАТ "БТА БАНК" від 16.06.2016 р. (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ротокол № 3 від 16.06.2016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р.)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достроково припинено повноваження незалежного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Наглядової ради Сидоренко Ольг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и Юріївни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(паспорт: серія СО номер 613142 виданий 24.05.2001 р. Ватутінським РУГУ МВС України в м. Києві)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акетом акцій емітента не володіє (0%).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Непогашеної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немає.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Строк, протягом якого особа перебувала на посаді: з 21.02.2016 р.</w:t>
      </w:r>
    </w:p>
    <w:p w:rsidR="00410086" w:rsidRPr="006F7CBB" w:rsidRDefault="00410086" w:rsidP="0041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обрання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прийнято Загальними зборами акціонерів від 16.06.2016 р. (протокол № 3 від 16.06.2016 р.).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Курманов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Олжас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Каірбєкович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(паспорт: серія б/с номер 09625364 виданий 10.11.2014 р. Міністерством внутрішніх справ Республіки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Казахстан)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обраний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посаду  Голова Наглядової ради. Акціями емітента не володіє (0%). Непогашеної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немає. Строк, на який призначено особу: до наступних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рiчних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Загальних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зборiв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акціонерів. Особу обрано в зв'язку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достроковим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припиненням повноважень попереднього складу Наглядової ради. Інші посади, які обіймала особа протягом останніх п'яти років: радник Голови АТ «АТФ БАНК», директор департаменту ризиків АТ «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Темірбанк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директор департаменту бюджетування та аналізу АТ «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ЦеснаБанк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виконавчий директор АТ «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Qazaq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Financial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Groupe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». Особа обирається до Наглядової ради як представник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акцiонера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 "БТА Банк", якому належить 89,99581% статутного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капiталу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0086" w:rsidRPr="006F7CBB" w:rsidRDefault="00410086" w:rsidP="0041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Рішення про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обрання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прийнято Загальними зборами акціонерів від 16.06.2016 р. (протокол № 3 від 16.06.2016 р.).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Рахматулаєв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Абліміт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Абдурашитович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(паспорт: серія б/с номер 09825612, виданий 15.01.2015 р. Міністерством внутрішніх справ Республіки Казахстан) обран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посаду Член Наглядової ради. Акціями емітента не володіє (0%). Непогашеної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немає. Строк, на який призначено особу: до наступних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рiчних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Загальних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зборiв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акціонерів. Особу обрано в зв'язку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достроковим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припиненням повноважень попере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днього складу Наглядової ради.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Інші посади, які обіймала особа протягом останніх п'яти років: член Наглядової ради ТОВ «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Kazakhstan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Petrochemical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Industries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inc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член Наглядової ради ТОВ «KLPE», Голова Ради директорів АТ «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Казгеокосмос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радник Голови Ради директорів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 «БТА Банк», виконавчий директор АТ «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Qazaq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Financial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Group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», член Ради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директорівЗАТ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«БТА Банк» (Республіка Білорусь). Особа обирається до Наглядової ради як представник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акцiонера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 "БТА Банк", якому належить 89,99581% статутного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капiталу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0086" w:rsidRPr="006F7CBB" w:rsidRDefault="00410086" w:rsidP="0041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про обрання прийнято Загальними зборами акціонерів від 16.06.2016 р. (протокол № 3 від 16.06.2016 р.).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Безвушко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Євген Олександрович (паспорт: серія НА номер 485219 виданий 05.05.1998 р. Хмельницьким РУ ГУМВС України в Хмельницькій області) обран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посаду Член Наглядової ради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незалежний директор. Акціями емітента не володіє (0%). Непогашеної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немає. Строк, на який обрано особу: до наступних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рiчних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Загальних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зборiв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акціонерів. Особу обрано в зв'язку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достроковим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припиненням повноважень попереднього складу Наглядової ради. Інші посади, які обіймала особа протягом останніх п'яти років: старший консультант ТОВ «Сі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Річард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Елліс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аналітик відділу корпоративних фінансів, керівник проекту відділу корпоративних фінансів ПАТ «АЛЬФА-БАНК».</w:t>
      </w:r>
    </w:p>
    <w:p w:rsidR="00410086" w:rsidRPr="006F7CBB" w:rsidRDefault="00410086" w:rsidP="0041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Рішення про обрання прийнято Загальними зборами акціонерів від 16.06.2016 р. (протокол № 3 від 16.06.2016 р.).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аковецький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Михайло Миколайович (паспорт: серія СК номер 537908 виданий 13.05.1997 р. Обухівським РВ ГУМВС України в Київській обл.) обран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посаду Член Наглядової ради як незалежний директор. Акціями емітента не володіє (</w:t>
      </w:r>
      <w:bookmarkStart w:id="0" w:name="_GoBack"/>
      <w:bookmarkEnd w:id="0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0%). Непогашеної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немає. Строк, на який обрано особу: до наступних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рiчних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Загальних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зборiв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акціонерів. Особу обрано в зв'язку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достроковим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припиненням повноважень попереднього складу Наглядової ради. Інші посади, які обіймала особа протягом останніх п'яти років: начальник ДПМ Управління податкової міліції ДПА у м. Києві,  начальник Державної податкової інспекції в Оболонському районі м Київ ДПС, начальник Державної податкової інспекції в Оболонському районі ГУ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Міндоходів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м. Києві, начальник Державної податкової інспекції у Деснянському районі ГУ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Міндоходів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м. Київ, помічник адвоката Адвокатське об'єднання «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Авер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Лекс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».</w:t>
      </w:r>
    </w:p>
    <w:p w:rsidR="00410086" w:rsidRPr="006F7CBB" w:rsidRDefault="00410086" w:rsidP="00410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про обрання прийнято Загальними зборами акціонерів від 16.06.2016 р. (протокол № 3 від 16.06.2016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р.).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Малкін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Олег Олександрович (паспорт: серія Р номер Р0378107 виданий 02.02.2009 р. 3D) обран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ий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посаду Член Наглядової ради. Акціями емітента не володіє (0%). Непогашеної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судимостi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корисливi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посадовi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злочини немає. Строк, на який призначено особу: до наступних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рiчних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Загальних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зборiв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акціонерів. Особу обрано в зв'язку з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достроковим </w:t>
      </w:r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припиненням повноважень попереднього складу Наглядової ради. Інші посади, які обіймала особа протягом останніх п'яти років: Голова Правління Благодійний фонд «Відкриті серця України», Голова Правління ПАТ «ПЕРШИЙ ІНВЕСТИЦІЙНИЙ БАНК». Особа обирається до Наглядової ради як представник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акцiонера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АТ "БТА Банк", якому належить 89,99581% статутного </w:t>
      </w:r>
      <w:proofErr w:type="spellStart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капiталу</w:t>
      </w:r>
      <w:proofErr w:type="spellEnd"/>
      <w:r w:rsidRPr="006F7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10086" w:rsidRPr="006E172B" w:rsidRDefault="00410086" w:rsidP="00410086">
      <w:pPr>
        <w:pStyle w:val="a3"/>
        <w:spacing w:before="0" w:beforeAutospacing="0" w:after="0" w:afterAutospacing="0"/>
        <w:jc w:val="center"/>
        <w:rPr>
          <w:b/>
          <w:lang w:val="uk-UA"/>
        </w:rPr>
      </w:pPr>
      <w:r w:rsidRPr="006E172B">
        <w:rPr>
          <w:b/>
          <w:lang w:val="uk-UA"/>
        </w:rPr>
        <w:t>III. Підпис</w:t>
      </w:r>
    </w:p>
    <w:p w:rsidR="00410086" w:rsidRDefault="00410086" w:rsidP="00410086">
      <w:pPr>
        <w:pStyle w:val="a3"/>
        <w:spacing w:before="0" w:beforeAutospacing="0" w:after="0" w:afterAutospacing="0"/>
        <w:jc w:val="both"/>
        <w:rPr>
          <w:lang w:val="uk-UA"/>
        </w:rPr>
      </w:pPr>
      <w:r w:rsidRPr="002C3A31">
        <w:rPr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  <w:r>
        <w:rPr>
          <w:lang w:val="uk-UA"/>
        </w:rPr>
        <w:t xml:space="preserve"> </w:t>
      </w:r>
    </w:p>
    <w:p w:rsidR="00410086" w:rsidRDefault="00410086" w:rsidP="00410086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</w:t>
      </w:r>
    </w:p>
    <w:tbl>
      <w:tblPr>
        <w:tblW w:w="485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9"/>
        <w:gridCol w:w="176"/>
        <w:gridCol w:w="1977"/>
        <w:gridCol w:w="188"/>
        <w:gridCol w:w="3773"/>
      </w:tblGrid>
      <w:tr w:rsidR="00410086" w:rsidTr="00B11793">
        <w:trPr>
          <w:cantSplit/>
          <w:trHeight w:val="527"/>
          <w:jc w:val="center"/>
        </w:trPr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Голова Правління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Прохоренко</w:t>
            </w:r>
            <w:proofErr w:type="spellEnd"/>
            <w:r>
              <w:rPr>
                <w:lang w:val="uk-UA"/>
              </w:rPr>
              <w:t xml:space="preserve"> В.П.</w:t>
            </w:r>
          </w:p>
        </w:tc>
      </w:tr>
      <w:tr w:rsidR="00410086" w:rsidTr="00B11793">
        <w:trPr>
          <w:cantSplit/>
          <w:trHeight w:val="390"/>
          <w:jc w:val="center"/>
        </w:trPr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rPr>
                <w:lang w:val="uk-UA"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086" w:rsidRPr="00410086" w:rsidRDefault="00410086" w:rsidP="00B1179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0086">
              <w:rPr>
                <w:sz w:val="20"/>
                <w:szCs w:val="20"/>
                <w:lang w:val="uk-UA"/>
              </w:rPr>
              <w:t>(підпис) </w:t>
            </w: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Pr="00410086" w:rsidRDefault="00410086" w:rsidP="00B1179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086" w:rsidRPr="00410086" w:rsidRDefault="00410086" w:rsidP="00B1179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0086">
              <w:rPr>
                <w:sz w:val="20"/>
                <w:szCs w:val="20"/>
                <w:lang w:val="uk-UA"/>
              </w:rPr>
              <w:t>(ініціали та прізвище керівника) </w:t>
            </w:r>
          </w:p>
        </w:tc>
      </w:tr>
      <w:tr w:rsidR="00410086" w:rsidTr="00B11793">
        <w:trPr>
          <w:cantSplit/>
          <w:trHeight w:val="165"/>
          <w:jc w:val="center"/>
        </w:trPr>
        <w:tc>
          <w:tcPr>
            <w:tcW w:w="191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 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Pr="00410086" w:rsidRDefault="00410086" w:rsidP="00B1179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0086">
              <w:rPr>
                <w:sz w:val="20"/>
                <w:szCs w:val="20"/>
                <w:lang w:val="uk-UA"/>
              </w:rPr>
              <w:t>М. П. </w:t>
            </w: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Pr="00410086" w:rsidRDefault="00410086" w:rsidP="00B1179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0086" w:rsidRPr="00410086" w:rsidRDefault="00410086" w:rsidP="00B1179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0086">
              <w:rPr>
                <w:lang w:val="uk-UA"/>
              </w:rPr>
              <w:t>17.06.2016</w:t>
            </w:r>
          </w:p>
        </w:tc>
      </w:tr>
      <w:tr w:rsidR="00410086" w:rsidTr="00B11793">
        <w:trPr>
          <w:cantSplit/>
          <w:trHeight w:val="375"/>
          <w:jc w:val="center"/>
        </w:trPr>
        <w:tc>
          <w:tcPr>
            <w:tcW w:w="1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rPr>
                <w:lang w:val="uk-UA"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Default="00410086" w:rsidP="00B11793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Pr="00410086" w:rsidRDefault="00410086" w:rsidP="00B1179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0086" w:rsidRPr="00410086" w:rsidRDefault="00410086" w:rsidP="00B1179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0086" w:rsidRPr="00410086" w:rsidRDefault="00410086" w:rsidP="00B11793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410086">
              <w:rPr>
                <w:sz w:val="20"/>
                <w:szCs w:val="20"/>
                <w:lang w:val="uk-UA"/>
              </w:rPr>
              <w:t>(дата) </w:t>
            </w:r>
          </w:p>
        </w:tc>
      </w:tr>
    </w:tbl>
    <w:p w:rsidR="003C799D" w:rsidRDefault="003C799D"/>
    <w:sectPr w:rsidR="003C799D" w:rsidSect="00410086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86"/>
    <w:rsid w:val="000123B4"/>
    <w:rsid w:val="00074488"/>
    <w:rsid w:val="000B7E55"/>
    <w:rsid w:val="001E271B"/>
    <w:rsid w:val="00293D9A"/>
    <w:rsid w:val="002B5FAA"/>
    <w:rsid w:val="002B6E24"/>
    <w:rsid w:val="003348E7"/>
    <w:rsid w:val="00364790"/>
    <w:rsid w:val="003B3DA8"/>
    <w:rsid w:val="003C799D"/>
    <w:rsid w:val="00410086"/>
    <w:rsid w:val="005A1671"/>
    <w:rsid w:val="005F23AD"/>
    <w:rsid w:val="00697742"/>
    <w:rsid w:val="006B67A3"/>
    <w:rsid w:val="00777AAC"/>
    <w:rsid w:val="00813D05"/>
    <w:rsid w:val="00816024"/>
    <w:rsid w:val="00872083"/>
    <w:rsid w:val="009C67F6"/>
    <w:rsid w:val="00A51593"/>
    <w:rsid w:val="00AC5DC0"/>
    <w:rsid w:val="00BB517E"/>
    <w:rsid w:val="00E4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86"/>
  </w:style>
  <w:style w:type="paragraph" w:styleId="3">
    <w:name w:val="heading 3"/>
    <w:basedOn w:val="a"/>
    <w:link w:val="30"/>
    <w:qFormat/>
    <w:rsid w:val="00410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1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86"/>
  </w:style>
  <w:style w:type="paragraph" w:styleId="3">
    <w:name w:val="heading 3"/>
    <w:basedOn w:val="a"/>
    <w:link w:val="30"/>
    <w:qFormat/>
    <w:rsid w:val="00410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10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410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Гаража Юлия</dc:creator>
  <cp:lastModifiedBy>Гаража Юлия</cp:lastModifiedBy>
  <cp:revision>2</cp:revision>
  <dcterms:created xsi:type="dcterms:W3CDTF">2016-06-21T06:11:00Z</dcterms:created>
  <dcterms:modified xsi:type="dcterms:W3CDTF">2016-06-21T06:19:00Z</dcterms:modified>
</cp:coreProperties>
</file>